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39474C" w14:textId="77777777" w:rsidR="00A052D1" w:rsidRPr="00A052D1" w:rsidRDefault="00A052D1" w:rsidP="00A052D1">
      <w:pPr>
        <w:pBdr>
          <w:top w:val="single" w:sz="4" w:space="10" w:color="5B9BD5"/>
          <w:left w:val="nil"/>
          <w:bottom w:val="single" w:sz="4" w:space="10" w:color="5B9BD5"/>
          <w:right w:val="nil"/>
          <w:between w:val="nil"/>
        </w:pBdr>
        <w:spacing w:before="360" w:after="360"/>
        <w:ind w:left="864" w:right="864"/>
        <w:jc w:val="center"/>
        <w:rPr>
          <w:rFonts w:asciiTheme="majorHAnsi" w:eastAsia="Arial" w:hAnsiTheme="majorHAnsi" w:cstheme="majorHAnsi"/>
          <w:b/>
          <w:color w:val="00AEEF"/>
          <w:sz w:val="40"/>
          <w:szCs w:val="40"/>
        </w:rPr>
      </w:pPr>
      <w:r w:rsidRPr="00A052D1">
        <w:rPr>
          <w:rFonts w:asciiTheme="majorHAnsi" w:eastAsia="Arial" w:hAnsiTheme="majorHAnsi" w:cstheme="majorHAnsi"/>
          <w:b/>
          <w:color w:val="00AEEF"/>
          <w:sz w:val="40"/>
          <w:szCs w:val="40"/>
        </w:rPr>
        <w:t>POZIV ZA PODNOŠENJE PREDLOGA PROJEKATA</w:t>
      </w:r>
    </w:p>
    <w:p w14:paraId="7A711A81" w14:textId="77777777" w:rsidR="00A052D1" w:rsidRPr="00A052D1" w:rsidRDefault="00A052D1" w:rsidP="00A052D1">
      <w:pPr>
        <w:pBdr>
          <w:top w:val="single" w:sz="4" w:space="10" w:color="5B9BD5"/>
          <w:left w:val="nil"/>
          <w:bottom w:val="single" w:sz="4" w:space="10" w:color="5B9BD5"/>
          <w:right w:val="nil"/>
          <w:between w:val="nil"/>
        </w:pBdr>
        <w:spacing w:after="0"/>
        <w:ind w:left="864" w:right="864"/>
        <w:jc w:val="center"/>
        <w:rPr>
          <w:rFonts w:asciiTheme="majorHAnsi" w:eastAsia="Arial" w:hAnsiTheme="majorHAnsi" w:cstheme="majorHAnsi"/>
          <w:b/>
          <w:color w:val="00AEEF"/>
          <w:sz w:val="24"/>
          <w:szCs w:val="24"/>
        </w:rPr>
      </w:pPr>
      <w:r w:rsidRPr="00A052D1">
        <w:rPr>
          <w:rFonts w:asciiTheme="majorHAnsi" w:eastAsia="Arial" w:hAnsiTheme="majorHAnsi" w:cstheme="majorHAnsi"/>
          <w:b/>
          <w:color w:val="00AEEF"/>
          <w:sz w:val="40"/>
          <w:szCs w:val="40"/>
        </w:rPr>
        <w:t xml:space="preserve">I. </w:t>
      </w:r>
      <w:r w:rsidRPr="00A052D1">
        <w:rPr>
          <w:rFonts w:asciiTheme="majorHAnsi" w:eastAsia="Arial" w:hAnsiTheme="majorHAnsi" w:cstheme="majorHAnsi"/>
          <w:b/>
          <w:color w:val="00AEEF"/>
          <w:sz w:val="24"/>
          <w:szCs w:val="24"/>
        </w:rPr>
        <w:t>Poziv za pod-grantove za adolescente (15-18 godina)</w:t>
      </w:r>
    </w:p>
    <w:p w14:paraId="48881068" w14:textId="6012B648" w:rsidR="007E0B85" w:rsidRPr="00A052D1" w:rsidRDefault="00A052D1" w:rsidP="00A052D1">
      <w:pPr>
        <w:pBdr>
          <w:top w:val="single" w:sz="4" w:space="10" w:color="5B9BD5"/>
          <w:left w:val="nil"/>
          <w:bottom w:val="single" w:sz="4" w:space="10" w:color="5B9BD5"/>
          <w:right w:val="nil"/>
          <w:between w:val="nil"/>
        </w:pBdr>
        <w:spacing w:after="0"/>
        <w:ind w:left="864" w:right="864"/>
        <w:jc w:val="center"/>
        <w:rPr>
          <w:rFonts w:asciiTheme="majorHAnsi" w:eastAsia="Arial" w:hAnsiTheme="majorHAnsi" w:cstheme="majorHAnsi"/>
          <w:b/>
          <w:color w:val="00AEEF"/>
          <w:sz w:val="24"/>
          <w:szCs w:val="24"/>
        </w:rPr>
      </w:pPr>
      <w:r w:rsidRPr="00A052D1">
        <w:rPr>
          <w:rFonts w:asciiTheme="majorHAnsi" w:eastAsia="Arial" w:hAnsiTheme="majorHAnsi" w:cstheme="majorHAnsi"/>
          <w:b/>
          <w:color w:val="00AEEF"/>
          <w:sz w:val="24"/>
          <w:szCs w:val="24"/>
        </w:rPr>
        <w:t>II. Poziv za dostavljanje predloga za grantove za mlade (18-24 godine)</w:t>
      </w:r>
    </w:p>
    <w:p w14:paraId="5581307F" w14:textId="77777777" w:rsidR="007E0B85" w:rsidRPr="00845257" w:rsidRDefault="007E0B85" w:rsidP="007E0B85">
      <w:pPr>
        <w:ind w:firstLine="720"/>
        <w:rPr>
          <w:rFonts w:asciiTheme="majorHAnsi" w:eastAsia="Arial" w:hAnsiTheme="majorHAnsi" w:cstheme="majorHAnsi"/>
        </w:rPr>
      </w:pPr>
    </w:p>
    <w:p w14:paraId="582E5F16" w14:textId="77777777" w:rsidR="007E0B85" w:rsidRPr="00845257" w:rsidRDefault="007E0B85" w:rsidP="007E0B85">
      <w:pPr>
        <w:ind w:firstLine="720"/>
        <w:rPr>
          <w:rFonts w:asciiTheme="majorHAnsi" w:eastAsia="Arial" w:hAnsiTheme="majorHAnsi" w:cstheme="majorHAnsi"/>
        </w:rPr>
      </w:pPr>
    </w:p>
    <w:p w14:paraId="0602BEDD" w14:textId="77777777" w:rsidR="007E0B85" w:rsidRPr="00845257" w:rsidRDefault="007E0B85" w:rsidP="007E0B85">
      <w:pPr>
        <w:ind w:firstLine="720"/>
        <w:rPr>
          <w:rFonts w:asciiTheme="majorHAnsi" w:eastAsia="Arial" w:hAnsiTheme="majorHAnsi" w:cstheme="majorHAnsi"/>
        </w:rPr>
      </w:pPr>
    </w:p>
    <w:p w14:paraId="3260DF08" w14:textId="77777777" w:rsidR="007E0B85" w:rsidRPr="00845257" w:rsidRDefault="007E0B85" w:rsidP="007E0B85">
      <w:pPr>
        <w:jc w:val="center"/>
        <w:rPr>
          <w:rFonts w:asciiTheme="majorHAnsi" w:eastAsia="Arial" w:hAnsiTheme="majorHAnsi" w:cstheme="majorHAnsi"/>
        </w:rPr>
      </w:pPr>
      <w:r w:rsidRPr="00845257">
        <w:rPr>
          <w:rFonts w:asciiTheme="majorHAnsi" w:eastAsia="Arial" w:hAnsiTheme="majorHAnsi" w:cstheme="majorHAnsi"/>
          <w:lang w:val="en-US"/>
        </w:rPr>
        <w:drawing>
          <wp:inline distT="114300" distB="114300" distL="114300" distR="114300" wp14:anchorId="165ADAA0" wp14:editId="3681E5F8">
            <wp:extent cx="2613660" cy="1303020"/>
            <wp:effectExtent l="0" t="0" r="0" b="0"/>
            <wp:docPr id="1073741864"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8"/>
                    <a:srcRect/>
                    <a:stretch>
                      <a:fillRect/>
                    </a:stretch>
                  </pic:blipFill>
                  <pic:spPr>
                    <a:xfrm>
                      <a:off x="0" y="0"/>
                      <a:ext cx="2613660" cy="1303020"/>
                    </a:xfrm>
                    <a:prstGeom prst="rect">
                      <a:avLst/>
                    </a:prstGeom>
                    <a:ln/>
                  </pic:spPr>
                </pic:pic>
              </a:graphicData>
            </a:graphic>
          </wp:inline>
        </w:drawing>
      </w:r>
    </w:p>
    <w:p w14:paraId="75540B5F" w14:textId="7CF07E6C" w:rsidR="007E0B85" w:rsidRPr="00845257" w:rsidRDefault="00A052D1" w:rsidP="007E0B85">
      <w:pPr>
        <w:jc w:val="center"/>
        <w:rPr>
          <w:rFonts w:asciiTheme="majorHAnsi" w:eastAsia="Arial" w:hAnsiTheme="majorHAnsi" w:cstheme="majorHAnsi"/>
        </w:rPr>
      </w:pPr>
      <w:r w:rsidRPr="00A052D1">
        <w:rPr>
          <w:rFonts w:asciiTheme="majorHAnsi" w:eastAsia="Arial" w:hAnsiTheme="majorHAnsi" w:cstheme="majorHAnsi"/>
          <w:b/>
          <w:color w:val="7030A0"/>
          <w:szCs w:val="16"/>
        </w:rPr>
        <w:t>u partnerstvu sa</w:t>
      </w:r>
      <w:r w:rsidR="007E0B85">
        <w:rPr>
          <w:rFonts w:asciiTheme="majorHAnsi" w:eastAsia="Arial" w:hAnsiTheme="majorHAnsi" w:cstheme="majorHAnsi"/>
        </w:rPr>
        <w:t xml:space="preserve">    </w:t>
      </w:r>
    </w:p>
    <w:p w14:paraId="34452E14" w14:textId="312EF237" w:rsidR="007E0B85" w:rsidRPr="00845257" w:rsidRDefault="00A052D1" w:rsidP="007E0B85">
      <w:pPr>
        <w:rPr>
          <w:rFonts w:asciiTheme="majorHAnsi" w:eastAsia="Arial" w:hAnsiTheme="majorHAnsi" w:cstheme="majorHAnsi"/>
        </w:rPr>
      </w:pPr>
      <w:r w:rsidRPr="00845257">
        <w:rPr>
          <w:rFonts w:asciiTheme="majorHAnsi" w:eastAsia="Arial" w:hAnsiTheme="majorHAnsi" w:cstheme="majorHAnsi"/>
          <w:lang w:val="en-US"/>
        </w:rPr>
        <w:drawing>
          <wp:anchor distT="0" distB="0" distL="114300" distR="114300" simplePos="0" relativeHeight="251660288" behindDoc="1" locked="0" layoutInCell="1" allowOverlap="1" wp14:anchorId="2F7AA50C" wp14:editId="199934B6">
            <wp:simplePos x="0" y="0"/>
            <wp:positionH relativeFrom="margin">
              <wp:align>center</wp:align>
            </wp:positionH>
            <wp:positionV relativeFrom="paragraph">
              <wp:posOffset>13335</wp:posOffset>
            </wp:positionV>
            <wp:extent cx="929640" cy="916499"/>
            <wp:effectExtent l="0" t="0" r="3810" b="0"/>
            <wp:wrapTight wrapText="bothSides">
              <wp:wrapPolygon edited="0">
                <wp:start x="0" y="0"/>
                <wp:lineTo x="0" y="6736"/>
                <wp:lineTo x="1328" y="14370"/>
                <wp:lineTo x="0" y="17064"/>
                <wp:lineTo x="0" y="21106"/>
                <wp:lineTo x="21246" y="21106"/>
                <wp:lineTo x="21246" y="19759"/>
                <wp:lineTo x="18590" y="14370"/>
                <wp:lineTo x="19475" y="14370"/>
                <wp:lineTo x="21246" y="6736"/>
                <wp:lineTo x="21246" y="0"/>
                <wp:lineTo x="0" y="0"/>
              </wp:wrapPolygon>
            </wp:wrapTight>
            <wp:docPr id="4" name="Picture 3">
              <a:extLst xmlns:a="http://schemas.openxmlformats.org/drawingml/2006/main">
                <a:ext uri="{FF2B5EF4-FFF2-40B4-BE49-F238E27FC236}">
                  <a16:creationId xmlns:a16="http://schemas.microsoft.com/office/drawing/2014/main" id="{5B7C4732-3440-49FE-A2E0-4DE2A1AAE25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5B7C4732-3440-49FE-A2E0-4DE2A1AAE253}"/>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29640" cy="916499"/>
                    </a:xfrm>
                    <a:prstGeom prst="rect">
                      <a:avLst/>
                    </a:prstGeom>
                  </pic:spPr>
                </pic:pic>
              </a:graphicData>
            </a:graphic>
          </wp:anchor>
        </w:drawing>
      </w:r>
    </w:p>
    <w:p w14:paraId="5D0584C3" w14:textId="77777777" w:rsidR="007E0B85" w:rsidRPr="00845257" w:rsidRDefault="007E0B85" w:rsidP="007E0B85">
      <w:pPr>
        <w:rPr>
          <w:rFonts w:asciiTheme="majorHAnsi" w:eastAsia="Arial" w:hAnsiTheme="majorHAnsi" w:cstheme="majorHAnsi"/>
        </w:rPr>
      </w:pPr>
    </w:p>
    <w:p w14:paraId="37C32254" w14:textId="77777777" w:rsidR="007E0B85" w:rsidRPr="00845257" w:rsidRDefault="007E0B85" w:rsidP="007E0B85">
      <w:pPr>
        <w:rPr>
          <w:rFonts w:asciiTheme="majorHAnsi" w:eastAsia="Arial" w:hAnsiTheme="majorHAnsi" w:cstheme="majorHAnsi"/>
        </w:rPr>
      </w:pPr>
    </w:p>
    <w:p w14:paraId="5408C329" w14:textId="77777777" w:rsidR="007E0B85" w:rsidRPr="00845257" w:rsidRDefault="007E0B85" w:rsidP="007E0B85">
      <w:pPr>
        <w:rPr>
          <w:rFonts w:asciiTheme="majorHAnsi" w:eastAsia="Arial" w:hAnsiTheme="majorHAnsi" w:cstheme="majorHAnsi"/>
        </w:rPr>
      </w:pPr>
    </w:p>
    <w:p w14:paraId="6F33E325" w14:textId="2587E9E2" w:rsidR="007E0B85" w:rsidRDefault="007E0B85" w:rsidP="007E0B85">
      <w:pPr>
        <w:rPr>
          <w:rFonts w:asciiTheme="majorHAnsi" w:eastAsia="Arial" w:hAnsiTheme="majorHAnsi" w:cstheme="majorHAnsi"/>
        </w:rPr>
      </w:pPr>
    </w:p>
    <w:p w14:paraId="6A244CAE" w14:textId="0D9E974A" w:rsidR="00A052D1" w:rsidRDefault="00A052D1" w:rsidP="007E0B85">
      <w:pPr>
        <w:rPr>
          <w:rFonts w:asciiTheme="majorHAnsi" w:eastAsia="Arial" w:hAnsiTheme="majorHAnsi" w:cstheme="majorHAnsi"/>
        </w:rPr>
      </w:pPr>
    </w:p>
    <w:p w14:paraId="181EB0D3" w14:textId="6C72584E" w:rsidR="00A052D1" w:rsidRDefault="00A052D1" w:rsidP="007E0B85">
      <w:pPr>
        <w:rPr>
          <w:rFonts w:asciiTheme="majorHAnsi" w:eastAsia="Arial" w:hAnsiTheme="majorHAnsi" w:cstheme="majorHAnsi"/>
        </w:rPr>
      </w:pPr>
    </w:p>
    <w:p w14:paraId="79B29760" w14:textId="53664592" w:rsidR="00A052D1" w:rsidRDefault="00A052D1" w:rsidP="007E0B85">
      <w:pPr>
        <w:rPr>
          <w:rFonts w:asciiTheme="majorHAnsi" w:eastAsia="Arial" w:hAnsiTheme="majorHAnsi" w:cstheme="majorHAnsi"/>
        </w:rPr>
      </w:pPr>
    </w:p>
    <w:p w14:paraId="1587CA15" w14:textId="77777777" w:rsidR="00A052D1" w:rsidRPr="00845257" w:rsidRDefault="00A052D1" w:rsidP="007E0B85">
      <w:pPr>
        <w:rPr>
          <w:rFonts w:asciiTheme="majorHAnsi" w:eastAsia="Arial" w:hAnsiTheme="majorHAnsi" w:cstheme="majorHAnsi"/>
        </w:rPr>
      </w:pPr>
    </w:p>
    <w:p w14:paraId="349DE7D2" w14:textId="77777777" w:rsidR="007E0B85" w:rsidRPr="00845257" w:rsidRDefault="007E0B85" w:rsidP="007E0B85">
      <w:pPr>
        <w:rPr>
          <w:rFonts w:asciiTheme="majorHAnsi" w:eastAsia="Arial" w:hAnsiTheme="majorHAnsi" w:cstheme="majorHAnsi"/>
        </w:rPr>
      </w:pPr>
      <w:r w:rsidRPr="00845257">
        <w:rPr>
          <w:rFonts w:asciiTheme="majorHAnsi" w:hAnsiTheme="majorHAnsi" w:cstheme="majorHAnsi"/>
          <w:lang w:val="en-US"/>
        </w:rPr>
        <w:drawing>
          <wp:anchor distT="0" distB="0" distL="114300" distR="114300" simplePos="0" relativeHeight="251659264" behindDoc="0" locked="0" layoutInCell="1" hidden="0" allowOverlap="1" wp14:anchorId="79AB8AD7" wp14:editId="44FA53DD">
            <wp:simplePos x="0" y="0"/>
            <wp:positionH relativeFrom="column">
              <wp:posOffset>4</wp:posOffset>
            </wp:positionH>
            <wp:positionV relativeFrom="paragraph">
              <wp:posOffset>219075</wp:posOffset>
            </wp:positionV>
            <wp:extent cx="5744845" cy="869506"/>
            <wp:effectExtent l="0" t="0" r="0" b="0"/>
            <wp:wrapNone/>
            <wp:docPr id="1073741863"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0"/>
                    <a:srcRect/>
                    <a:stretch>
                      <a:fillRect/>
                    </a:stretch>
                  </pic:blipFill>
                  <pic:spPr>
                    <a:xfrm>
                      <a:off x="0" y="0"/>
                      <a:ext cx="5744845" cy="869506"/>
                    </a:xfrm>
                    <a:prstGeom prst="rect">
                      <a:avLst/>
                    </a:prstGeom>
                    <a:ln/>
                  </pic:spPr>
                </pic:pic>
              </a:graphicData>
            </a:graphic>
          </wp:anchor>
        </w:drawing>
      </w:r>
    </w:p>
    <w:p w14:paraId="28D333FD" w14:textId="77777777" w:rsidR="007E0B85" w:rsidRPr="00845257" w:rsidRDefault="007E0B85" w:rsidP="007E0B85">
      <w:pPr>
        <w:rPr>
          <w:rFonts w:asciiTheme="majorHAnsi" w:eastAsia="Arial" w:hAnsiTheme="majorHAnsi" w:cstheme="majorHAnsi"/>
        </w:rPr>
      </w:pPr>
    </w:p>
    <w:p w14:paraId="497E3C70" w14:textId="77777777" w:rsidR="007E0B85" w:rsidRDefault="007E0B85" w:rsidP="007E0B85">
      <w:pPr>
        <w:rPr>
          <w:rFonts w:asciiTheme="majorHAnsi" w:eastAsia="Arial" w:hAnsiTheme="majorHAnsi" w:cstheme="majorHAnsi"/>
        </w:rPr>
      </w:pPr>
    </w:p>
    <w:p w14:paraId="0AE17220" w14:textId="77777777" w:rsidR="007E0B85" w:rsidRDefault="007E0B85" w:rsidP="007E0B85">
      <w:pPr>
        <w:rPr>
          <w:rFonts w:asciiTheme="majorHAnsi" w:eastAsia="Arial" w:hAnsiTheme="majorHAnsi" w:cstheme="majorHAnsi"/>
        </w:rPr>
      </w:pPr>
    </w:p>
    <w:p w14:paraId="05E3FC83" w14:textId="77777777" w:rsidR="007E0B85" w:rsidRPr="00845257" w:rsidRDefault="007E0B85" w:rsidP="007E0B85">
      <w:pPr>
        <w:rPr>
          <w:rFonts w:asciiTheme="majorHAnsi" w:eastAsia="Arial" w:hAnsiTheme="majorHAnsi" w:cstheme="majorHAnsi"/>
        </w:rPr>
      </w:pPr>
    </w:p>
    <w:sdt>
      <w:sdtPr>
        <w:rPr>
          <w:rFonts w:asciiTheme="minorHAnsi" w:eastAsiaTheme="minorHAnsi" w:hAnsiTheme="minorHAnsi" w:cstheme="minorBidi"/>
          <w:noProof/>
          <w:color w:val="auto"/>
          <w:sz w:val="22"/>
          <w:szCs w:val="22"/>
          <w:lang w:val="sq-AL"/>
        </w:rPr>
        <w:id w:val="668981500"/>
        <w:docPartObj>
          <w:docPartGallery w:val="Table of Contents"/>
          <w:docPartUnique/>
        </w:docPartObj>
      </w:sdtPr>
      <w:sdtEndPr>
        <w:rPr>
          <w:b/>
          <w:bCs/>
        </w:rPr>
      </w:sdtEndPr>
      <w:sdtContent>
        <w:p w14:paraId="6A3CBF01" w14:textId="3F6EAD00" w:rsidR="001E426C" w:rsidRDefault="001E426C">
          <w:pPr>
            <w:pStyle w:val="TOCHeading"/>
          </w:pPr>
          <w:r>
            <w:t>Contents</w:t>
          </w:r>
        </w:p>
        <w:p w14:paraId="736187D1" w14:textId="50346E2A" w:rsidR="001E426C" w:rsidRDefault="001E426C">
          <w:pPr>
            <w:pStyle w:val="TOC1"/>
            <w:tabs>
              <w:tab w:val="right" w:leader="dot" w:pos="9350"/>
            </w:tabs>
            <w:rPr>
              <w:rFonts w:eastAsiaTheme="minorEastAsia"/>
              <w:lang w:val="en-US"/>
            </w:rPr>
          </w:pPr>
          <w:r>
            <w:fldChar w:fldCharType="begin"/>
          </w:r>
          <w:r>
            <w:instrText xml:space="preserve"> TOC \o "1-3" \h \z \u </w:instrText>
          </w:r>
          <w:r>
            <w:fldChar w:fldCharType="separate"/>
          </w:r>
          <w:hyperlink w:anchor="_Toc101439435" w:history="1">
            <w:r w:rsidRPr="006342A0">
              <w:rPr>
                <w:rStyle w:val="Hyperlink"/>
              </w:rPr>
              <w:t>VELIČINA I OBIM PODGRANTA</w:t>
            </w:r>
            <w:r>
              <w:rPr>
                <w:webHidden/>
              </w:rPr>
              <w:tab/>
            </w:r>
            <w:r>
              <w:rPr>
                <w:webHidden/>
              </w:rPr>
              <w:fldChar w:fldCharType="begin"/>
            </w:r>
            <w:r>
              <w:rPr>
                <w:webHidden/>
              </w:rPr>
              <w:instrText xml:space="preserve"> PAGEREF _Toc101439435 \h </w:instrText>
            </w:r>
            <w:r>
              <w:rPr>
                <w:webHidden/>
              </w:rPr>
            </w:r>
            <w:r>
              <w:rPr>
                <w:webHidden/>
              </w:rPr>
              <w:fldChar w:fldCharType="separate"/>
            </w:r>
            <w:r>
              <w:rPr>
                <w:webHidden/>
              </w:rPr>
              <w:t>2</w:t>
            </w:r>
            <w:r>
              <w:rPr>
                <w:webHidden/>
              </w:rPr>
              <w:fldChar w:fldCharType="end"/>
            </w:r>
          </w:hyperlink>
        </w:p>
        <w:p w14:paraId="7FA456C1" w14:textId="5FB1E70B" w:rsidR="001E426C" w:rsidRDefault="00CB1974">
          <w:pPr>
            <w:pStyle w:val="TOC1"/>
            <w:tabs>
              <w:tab w:val="right" w:leader="dot" w:pos="9350"/>
            </w:tabs>
            <w:rPr>
              <w:rFonts w:eastAsiaTheme="minorEastAsia"/>
              <w:lang w:val="en-US"/>
            </w:rPr>
          </w:pPr>
          <w:hyperlink w:anchor="_Toc101439436" w:history="1">
            <w:r w:rsidR="001E426C" w:rsidRPr="006342A0">
              <w:rPr>
                <w:rStyle w:val="Hyperlink"/>
              </w:rPr>
              <w:t>PODGRANTOVI ZAJEDNICE ZA TINEJDŽERE</w:t>
            </w:r>
            <w:r w:rsidR="001E426C">
              <w:rPr>
                <w:webHidden/>
              </w:rPr>
              <w:tab/>
            </w:r>
            <w:r w:rsidR="001E426C">
              <w:rPr>
                <w:webHidden/>
              </w:rPr>
              <w:fldChar w:fldCharType="begin"/>
            </w:r>
            <w:r w:rsidR="001E426C">
              <w:rPr>
                <w:webHidden/>
              </w:rPr>
              <w:instrText xml:space="preserve"> PAGEREF _Toc101439436 \h </w:instrText>
            </w:r>
            <w:r w:rsidR="001E426C">
              <w:rPr>
                <w:webHidden/>
              </w:rPr>
            </w:r>
            <w:r w:rsidR="001E426C">
              <w:rPr>
                <w:webHidden/>
              </w:rPr>
              <w:fldChar w:fldCharType="separate"/>
            </w:r>
            <w:r w:rsidR="001E426C">
              <w:rPr>
                <w:webHidden/>
              </w:rPr>
              <w:t>3</w:t>
            </w:r>
            <w:r w:rsidR="001E426C">
              <w:rPr>
                <w:webHidden/>
              </w:rPr>
              <w:fldChar w:fldCharType="end"/>
            </w:r>
          </w:hyperlink>
        </w:p>
        <w:p w14:paraId="5EA137CD" w14:textId="73EC9675" w:rsidR="001E426C" w:rsidRDefault="00CB1974">
          <w:pPr>
            <w:pStyle w:val="TOC2"/>
            <w:tabs>
              <w:tab w:val="right" w:leader="dot" w:pos="9350"/>
            </w:tabs>
            <w:rPr>
              <w:rFonts w:eastAsiaTheme="minorEastAsia"/>
              <w:lang w:val="en-US"/>
            </w:rPr>
          </w:pPr>
          <w:hyperlink w:anchor="_Toc101439437" w:history="1">
            <w:r w:rsidR="001E426C" w:rsidRPr="006342A0">
              <w:rPr>
                <w:rStyle w:val="Hyperlink"/>
              </w:rPr>
              <w:t>KO SE MOŽE PRIJAVITI?</w:t>
            </w:r>
            <w:r w:rsidR="001E426C">
              <w:rPr>
                <w:webHidden/>
              </w:rPr>
              <w:tab/>
            </w:r>
            <w:r w:rsidR="001E426C">
              <w:rPr>
                <w:webHidden/>
              </w:rPr>
              <w:fldChar w:fldCharType="begin"/>
            </w:r>
            <w:r w:rsidR="001E426C">
              <w:rPr>
                <w:webHidden/>
              </w:rPr>
              <w:instrText xml:space="preserve"> PAGEREF _Toc101439437 \h </w:instrText>
            </w:r>
            <w:r w:rsidR="001E426C">
              <w:rPr>
                <w:webHidden/>
              </w:rPr>
            </w:r>
            <w:r w:rsidR="001E426C">
              <w:rPr>
                <w:webHidden/>
              </w:rPr>
              <w:fldChar w:fldCharType="separate"/>
            </w:r>
            <w:r w:rsidR="001E426C">
              <w:rPr>
                <w:webHidden/>
              </w:rPr>
              <w:t>3</w:t>
            </w:r>
            <w:r w:rsidR="001E426C">
              <w:rPr>
                <w:webHidden/>
              </w:rPr>
              <w:fldChar w:fldCharType="end"/>
            </w:r>
          </w:hyperlink>
        </w:p>
        <w:p w14:paraId="69E69FE4" w14:textId="16359758" w:rsidR="001E426C" w:rsidRDefault="00CB1974">
          <w:pPr>
            <w:pStyle w:val="TOC2"/>
            <w:tabs>
              <w:tab w:val="right" w:leader="dot" w:pos="9350"/>
            </w:tabs>
            <w:rPr>
              <w:rFonts w:eastAsiaTheme="minorEastAsia"/>
              <w:lang w:val="en-US"/>
            </w:rPr>
          </w:pPr>
          <w:hyperlink w:anchor="_Toc101439438" w:history="1">
            <w:r w:rsidR="001E426C" w:rsidRPr="006342A0">
              <w:rPr>
                <w:rStyle w:val="Hyperlink"/>
              </w:rPr>
              <w:t>PRIHVATLJIVOST PODGRANTA I KRITERIJUMI ZA IZBOR</w:t>
            </w:r>
            <w:r w:rsidR="001E426C">
              <w:rPr>
                <w:webHidden/>
              </w:rPr>
              <w:tab/>
            </w:r>
            <w:r w:rsidR="001E426C">
              <w:rPr>
                <w:webHidden/>
              </w:rPr>
              <w:fldChar w:fldCharType="begin"/>
            </w:r>
            <w:r w:rsidR="001E426C">
              <w:rPr>
                <w:webHidden/>
              </w:rPr>
              <w:instrText xml:space="preserve"> PAGEREF _Toc101439438 \h </w:instrText>
            </w:r>
            <w:r w:rsidR="001E426C">
              <w:rPr>
                <w:webHidden/>
              </w:rPr>
            </w:r>
            <w:r w:rsidR="001E426C">
              <w:rPr>
                <w:webHidden/>
              </w:rPr>
              <w:fldChar w:fldCharType="separate"/>
            </w:r>
            <w:r w:rsidR="001E426C">
              <w:rPr>
                <w:webHidden/>
              </w:rPr>
              <w:t>3</w:t>
            </w:r>
            <w:r w:rsidR="001E426C">
              <w:rPr>
                <w:webHidden/>
              </w:rPr>
              <w:fldChar w:fldCharType="end"/>
            </w:r>
          </w:hyperlink>
        </w:p>
        <w:p w14:paraId="4F90E7A9" w14:textId="4E384B8E" w:rsidR="001E426C" w:rsidRDefault="00CB1974">
          <w:pPr>
            <w:pStyle w:val="TOC2"/>
            <w:tabs>
              <w:tab w:val="right" w:leader="dot" w:pos="9350"/>
            </w:tabs>
            <w:rPr>
              <w:rFonts w:eastAsiaTheme="minorEastAsia"/>
              <w:lang w:val="en-US"/>
            </w:rPr>
          </w:pPr>
          <w:hyperlink w:anchor="_Toc101439439" w:history="1">
            <w:r w:rsidR="001E426C" w:rsidRPr="006342A0">
              <w:rPr>
                <w:rStyle w:val="Hyperlink"/>
              </w:rPr>
              <w:t>PRIHVATLJIVOST AKTIVNOSTI PODGRANTA</w:t>
            </w:r>
            <w:r w:rsidR="001E426C">
              <w:rPr>
                <w:webHidden/>
              </w:rPr>
              <w:tab/>
            </w:r>
            <w:r w:rsidR="001E426C">
              <w:rPr>
                <w:webHidden/>
              </w:rPr>
              <w:fldChar w:fldCharType="begin"/>
            </w:r>
            <w:r w:rsidR="001E426C">
              <w:rPr>
                <w:webHidden/>
              </w:rPr>
              <w:instrText xml:space="preserve"> PAGEREF _Toc101439439 \h </w:instrText>
            </w:r>
            <w:r w:rsidR="001E426C">
              <w:rPr>
                <w:webHidden/>
              </w:rPr>
            </w:r>
            <w:r w:rsidR="001E426C">
              <w:rPr>
                <w:webHidden/>
              </w:rPr>
              <w:fldChar w:fldCharType="separate"/>
            </w:r>
            <w:r w:rsidR="001E426C">
              <w:rPr>
                <w:webHidden/>
              </w:rPr>
              <w:t>3</w:t>
            </w:r>
            <w:r w:rsidR="001E426C">
              <w:rPr>
                <w:webHidden/>
              </w:rPr>
              <w:fldChar w:fldCharType="end"/>
            </w:r>
          </w:hyperlink>
        </w:p>
        <w:p w14:paraId="05142593" w14:textId="3C36F3E8" w:rsidR="001E426C" w:rsidRDefault="00CB1974">
          <w:pPr>
            <w:pStyle w:val="TOC3"/>
            <w:tabs>
              <w:tab w:val="right" w:leader="dot" w:pos="9350"/>
            </w:tabs>
            <w:rPr>
              <w:rFonts w:eastAsiaTheme="minorEastAsia"/>
              <w:lang w:val="en-US"/>
            </w:rPr>
          </w:pPr>
          <w:hyperlink w:anchor="_Toc101439440" w:history="1">
            <w:r w:rsidR="001E426C" w:rsidRPr="006342A0">
              <w:rPr>
                <w:rStyle w:val="Hyperlink"/>
              </w:rPr>
              <w:t>Prihvatljivi  troškovi</w:t>
            </w:r>
            <w:r w:rsidR="001E426C">
              <w:rPr>
                <w:webHidden/>
              </w:rPr>
              <w:tab/>
            </w:r>
            <w:r w:rsidR="001E426C">
              <w:rPr>
                <w:webHidden/>
              </w:rPr>
              <w:fldChar w:fldCharType="begin"/>
            </w:r>
            <w:r w:rsidR="001E426C">
              <w:rPr>
                <w:webHidden/>
              </w:rPr>
              <w:instrText xml:space="preserve"> PAGEREF _Toc101439440 \h </w:instrText>
            </w:r>
            <w:r w:rsidR="001E426C">
              <w:rPr>
                <w:webHidden/>
              </w:rPr>
            </w:r>
            <w:r w:rsidR="001E426C">
              <w:rPr>
                <w:webHidden/>
              </w:rPr>
              <w:fldChar w:fldCharType="separate"/>
            </w:r>
            <w:r w:rsidR="001E426C">
              <w:rPr>
                <w:webHidden/>
              </w:rPr>
              <w:t>4</w:t>
            </w:r>
            <w:r w:rsidR="001E426C">
              <w:rPr>
                <w:webHidden/>
              </w:rPr>
              <w:fldChar w:fldCharType="end"/>
            </w:r>
          </w:hyperlink>
        </w:p>
        <w:p w14:paraId="70F23072" w14:textId="7AD2A062" w:rsidR="001E426C" w:rsidRDefault="00CB1974">
          <w:pPr>
            <w:pStyle w:val="TOC3"/>
            <w:tabs>
              <w:tab w:val="right" w:leader="dot" w:pos="9350"/>
            </w:tabs>
            <w:rPr>
              <w:rFonts w:eastAsiaTheme="minorEastAsia"/>
              <w:lang w:val="en-US"/>
            </w:rPr>
          </w:pPr>
          <w:hyperlink w:anchor="_Toc101439441" w:history="1">
            <w:r w:rsidR="001E426C" w:rsidRPr="006342A0">
              <w:rPr>
                <w:rStyle w:val="Hyperlink"/>
              </w:rPr>
              <w:t>Radni kapital</w:t>
            </w:r>
            <w:r w:rsidR="001E426C">
              <w:rPr>
                <w:webHidden/>
              </w:rPr>
              <w:tab/>
            </w:r>
            <w:r w:rsidR="001E426C">
              <w:rPr>
                <w:webHidden/>
              </w:rPr>
              <w:fldChar w:fldCharType="begin"/>
            </w:r>
            <w:r w:rsidR="001E426C">
              <w:rPr>
                <w:webHidden/>
              </w:rPr>
              <w:instrText xml:space="preserve"> PAGEREF _Toc101439441 \h </w:instrText>
            </w:r>
            <w:r w:rsidR="001E426C">
              <w:rPr>
                <w:webHidden/>
              </w:rPr>
            </w:r>
            <w:r w:rsidR="001E426C">
              <w:rPr>
                <w:webHidden/>
              </w:rPr>
              <w:fldChar w:fldCharType="separate"/>
            </w:r>
            <w:r w:rsidR="001E426C">
              <w:rPr>
                <w:webHidden/>
              </w:rPr>
              <w:t>4</w:t>
            </w:r>
            <w:r w:rsidR="001E426C">
              <w:rPr>
                <w:webHidden/>
              </w:rPr>
              <w:fldChar w:fldCharType="end"/>
            </w:r>
          </w:hyperlink>
        </w:p>
        <w:p w14:paraId="16398086" w14:textId="22AC4D6B" w:rsidR="001E426C" w:rsidRDefault="00CB1974">
          <w:pPr>
            <w:pStyle w:val="TOC3"/>
            <w:tabs>
              <w:tab w:val="right" w:leader="dot" w:pos="9350"/>
            </w:tabs>
            <w:rPr>
              <w:rFonts w:eastAsiaTheme="minorEastAsia"/>
              <w:lang w:val="en-US"/>
            </w:rPr>
          </w:pPr>
          <w:hyperlink w:anchor="_Toc101439442" w:history="1">
            <w:r w:rsidR="001E426C" w:rsidRPr="006342A0">
              <w:rPr>
                <w:rStyle w:val="Hyperlink"/>
              </w:rPr>
              <w:t>Neprihvatljive aktivnosti</w:t>
            </w:r>
            <w:r w:rsidR="001E426C">
              <w:rPr>
                <w:webHidden/>
              </w:rPr>
              <w:tab/>
            </w:r>
            <w:r w:rsidR="001E426C">
              <w:rPr>
                <w:webHidden/>
              </w:rPr>
              <w:fldChar w:fldCharType="begin"/>
            </w:r>
            <w:r w:rsidR="001E426C">
              <w:rPr>
                <w:webHidden/>
              </w:rPr>
              <w:instrText xml:space="preserve"> PAGEREF _Toc101439442 \h </w:instrText>
            </w:r>
            <w:r w:rsidR="001E426C">
              <w:rPr>
                <w:webHidden/>
              </w:rPr>
            </w:r>
            <w:r w:rsidR="001E426C">
              <w:rPr>
                <w:webHidden/>
              </w:rPr>
              <w:fldChar w:fldCharType="separate"/>
            </w:r>
            <w:r w:rsidR="001E426C">
              <w:rPr>
                <w:webHidden/>
              </w:rPr>
              <w:t>4</w:t>
            </w:r>
            <w:r w:rsidR="001E426C">
              <w:rPr>
                <w:webHidden/>
              </w:rPr>
              <w:fldChar w:fldCharType="end"/>
            </w:r>
          </w:hyperlink>
        </w:p>
        <w:p w14:paraId="370458F1" w14:textId="181CB6B1" w:rsidR="001E426C" w:rsidRDefault="00CB1974">
          <w:pPr>
            <w:pStyle w:val="TOC2"/>
            <w:tabs>
              <w:tab w:val="right" w:leader="dot" w:pos="9350"/>
            </w:tabs>
            <w:rPr>
              <w:rFonts w:eastAsiaTheme="minorEastAsia"/>
              <w:lang w:val="en-US"/>
            </w:rPr>
          </w:pPr>
          <w:hyperlink w:anchor="_Toc101439443" w:history="1">
            <w:r w:rsidR="001E426C" w:rsidRPr="006342A0">
              <w:rPr>
                <w:rStyle w:val="Hyperlink"/>
              </w:rPr>
              <w:t>VREMENSKI OKVIR I BUDŽET</w:t>
            </w:r>
            <w:r w:rsidR="001E426C">
              <w:rPr>
                <w:webHidden/>
              </w:rPr>
              <w:tab/>
            </w:r>
            <w:r w:rsidR="001E426C">
              <w:rPr>
                <w:webHidden/>
              </w:rPr>
              <w:fldChar w:fldCharType="begin"/>
            </w:r>
            <w:r w:rsidR="001E426C">
              <w:rPr>
                <w:webHidden/>
              </w:rPr>
              <w:instrText xml:space="preserve"> PAGEREF _Toc101439443 \h </w:instrText>
            </w:r>
            <w:r w:rsidR="001E426C">
              <w:rPr>
                <w:webHidden/>
              </w:rPr>
            </w:r>
            <w:r w:rsidR="001E426C">
              <w:rPr>
                <w:webHidden/>
              </w:rPr>
              <w:fldChar w:fldCharType="separate"/>
            </w:r>
            <w:r w:rsidR="001E426C">
              <w:rPr>
                <w:webHidden/>
              </w:rPr>
              <w:t>5</w:t>
            </w:r>
            <w:r w:rsidR="001E426C">
              <w:rPr>
                <w:webHidden/>
              </w:rPr>
              <w:fldChar w:fldCharType="end"/>
            </w:r>
          </w:hyperlink>
        </w:p>
        <w:p w14:paraId="3CD4DB3C" w14:textId="06088B6F" w:rsidR="001E426C" w:rsidRDefault="00CB1974">
          <w:pPr>
            <w:pStyle w:val="TOC1"/>
            <w:tabs>
              <w:tab w:val="right" w:leader="dot" w:pos="9350"/>
            </w:tabs>
            <w:rPr>
              <w:rFonts w:eastAsiaTheme="minorEastAsia"/>
              <w:lang w:val="en-US"/>
            </w:rPr>
          </w:pPr>
          <w:hyperlink w:anchor="_Toc101439444" w:history="1">
            <w:r w:rsidR="001E426C" w:rsidRPr="006342A0">
              <w:rPr>
                <w:rStyle w:val="Hyperlink"/>
              </w:rPr>
              <w:t>POTGRANTOVI ZAJEDNICE ZA MLADE ODRASLE</w:t>
            </w:r>
            <w:r w:rsidR="001E426C">
              <w:rPr>
                <w:webHidden/>
              </w:rPr>
              <w:tab/>
            </w:r>
            <w:r w:rsidR="001E426C">
              <w:rPr>
                <w:webHidden/>
              </w:rPr>
              <w:fldChar w:fldCharType="begin"/>
            </w:r>
            <w:r w:rsidR="001E426C">
              <w:rPr>
                <w:webHidden/>
              </w:rPr>
              <w:instrText xml:space="preserve"> PAGEREF _Toc101439444 \h </w:instrText>
            </w:r>
            <w:r w:rsidR="001E426C">
              <w:rPr>
                <w:webHidden/>
              </w:rPr>
            </w:r>
            <w:r w:rsidR="001E426C">
              <w:rPr>
                <w:webHidden/>
              </w:rPr>
              <w:fldChar w:fldCharType="separate"/>
            </w:r>
            <w:r w:rsidR="001E426C">
              <w:rPr>
                <w:webHidden/>
              </w:rPr>
              <w:t>6</w:t>
            </w:r>
            <w:r w:rsidR="001E426C">
              <w:rPr>
                <w:webHidden/>
              </w:rPr>
              <w:fldChar w:fldCharType="end"/>
            </w:r>
          </w:hyperlink>
        </w:p>
        <w:p w14:paraId="4CEB63CA" w14:textId="3499711E" w:rsidR="001E426C" w:rsidRDefault="00CB1974">
          <w:pPr>
            <w:pStyle w:val="TOC2"/>
            <w:tabs>
              <w:tab w:val="right" w:leader="dot" w:pos="9350"/>
            </w:tabs>
            <w:rPr>
              <w:rFonts w:eastAsiaTheme="minorEastAsia"/>
              <w:lang w:val="en-US"/>
            </w:rPr>
          </w:pPr>
          <w:hyperlink w:anchor="_Toc101439445" w:history="1">
            <w:r w:rsidR="001E426C" w:rsidRPr="006342A0">
              <w:rPr>
                <w:rStyle w:val="Hyperlink"/>
              </w:rPr>
              <w:t>KO SE MOŽE PRIJAVITI?</w:t>
            </w:r>
            <w:r w:rsidR="001E426C">
              <w:rPr>
                <w:webHidden/>
              </w:rPr>
              <w:tab/>
            </w:r>
            <w:r w:rsidR="001E426C">
              <w:rPr>
                <w:webHidden/>
              </w:rPr>
              <w:fldChar w:fldCharType="begin"/>
            </w:r>
            <w:r w:rsidR="001E426C">
              <w:rPr>
                <w:webHidden/>
              </w:rPr>
              <w:instrText xml:space="preserve"> PAGEREF _Toc101439445 \h </w:instrText>
            </w:r>
            <w:r w:rsidR="001E426C">
              <w:rPr>
                <w:webHidden/>
              </w:rPr>
            </w:r>
            <w:r w:rsidR="001E426C">
              <w:rPr>
                <w:webHidden/>
              </w:rPr>
              <w:fldChar w:fldCharType="separate"/>
            </w:r>
            <w:r w:rsidR="001E426C">
              <w:rPr>
                <w:webHidden/>
              </w:rPr>
              <w:t>6</w:t>
            </w:r>
            <w:r w:rsidR="001E426C">
              <w:rPr>
                <w:webHidden/>
              </w:rPr>
              <w:fldChar w:fldCharType="end"/>
            </w:r>
          </w:hyperlink>
        </w:p>
        <w:p w14:paraId="7D6011CC" w14:textId="70F4D5EF" w:rsidR="001E426C" w:rsidRDefault="00CB1974">
          <w:pPr>
            <w:pStyle w:val="TOC2"/>
            <w:tabs>
              <w:tab w:val="right" w:leader="dot" w:pos="9350"/>
            </w:tabs>
            <w:rPr>
              <w:rFonts w:eastAsiaTheme="minorEastAsia"/>
              <w:lang w:val="en-US"/>
            </w:rPr>
          </w:pPr>
          <w:hyperlink w:anchor="_Toc101439446" w:history="1">
            <w:r w:rsidR="001E426C" w:rsidRPr="006342A0">
              <w:rPr>
                <w:rStyle w:val="Hyperlink"/>
              </w:rPr>
              <w:t>PRIHVATLJIVOST PODGRANTA I KRITERIJUMI ZA IZBOR</w:t>
            </w:r>
            <w:r w:rsidR="001E426C">
              <w:rPr>
                <w:webHidden/>
              </w:rPr>
              <w:tab/>
            </w:r>
            <w:r w:rsidR="001E426C">
              <w:rPr>
                <w:webHidden/>
              </w:rPr>
              <w:fldChar w:fldCharType="begin"/>
            </w:r>
            <w:r w:rsidR="001E426C">
              <w:rPr>
                <w:webHidden/>
              </w:rPr>
              <w:instrText xml:space="preserve"> PAGEREF _Toc101439446 \h </w:instrText>
            </w:r>
            <w:r w:rsidR="001E426C">
              <w:rPr>
                <w:webHidden/>
              </w:rPr>
            </w:r>
            <w:r w:rsidR="001E426C">
              <w:rPr>
                <w:webHidden/>
              </w:rPr>
              <w:fldChar w:fldCharType="separate"/>
            </w:r>
            <w:r w:rsidR="001E426C">
              <w:rPr>
                <w:webHidden/>
              </w:rPr>
              <w:t>6</w:t>
            </w:r>
            <w:r w:rsidR="001E426C">
              <w:rPr>
                <w:webHidden/>
              </w:rPr>
              <w:fldChar w:fldCharType="end"/>
            </w:r>
          </w:hyperlink>
        </w:p>
        <w:p w14:paraId="6997C202" w14:textId="289E7DB9" w:rsidR="001E426C" w:rsidRDefault="00CB1974">
          <w:pPr>
            <w:pStyle w:val="TOC3"/>
            <w:tabs>
              <w:tab w:val="right" w:leader="dot" w:pos="9350"/>
            </w:tabs>
            <w:rPr>
              <w:rFonts w:eastAsiaTheme="minorEastAsia"/>
              <w:lang w:val="en-US"/>
            </w:rPr>
          </w:pPr>
          <w:hyperlink w:anchor="_Toc101439447" w:history="1">
            <w:r w:rsidR="001E426C" w:rsidRPr="006342A0">
              <w:rPr>
                <w:rStyle w:val="Hyperlink"/>
              </w:rPr>
              <w:t>Preduslovi za podnosioce zahteva za podgrantove</w:t>
            </w:r>
            <w:r w:rsidR="001E426C">
              <w:rPr>
                <w:webHidden/>
              </w:rPr>
              <w:tab/>
            </w:r>
            <w:r w:rsidR="001E426C">
              <w:rPr>
                <w:webHidden/>
              </w:rPr>
              <w:fldChar w:fldCharType="begin"/>
            </w:r>
            <w:r w:rsidR="001E426C">
              <w:rPr>
                <w:webHidden/>
              </w:rPr>
              <w:instrText xml:space="preserve"> PAGEREF _Toc101439447 \h </w:instrText>
            </w:r>
            <w:r w:rsidR="001E426C">
              <w:rPr>
                <w:webHidden/>
              </w:rPr>
            </w:r>
            <w:r w:rsidR="001E426C">
              <w:rPr>
                <w:webHidden/>
              </w:rPr>
              <w:fldChar w:fldCharType="separate"/>
            </w:r>
            <w:r w:rsidR="001E426C">
              <w:rPr>
                <w:webHidden/>
              </w:rPr>
              <w:t>6</w:t>
            </w:r>
            <w:r w:rsidR="001E426C">
              <w:rPr>
                <w:webHidden/>
              </w:rPr>
              <w:fldChar w:fldCharType="end"/>
            </w:r>
          </w:hyperlink>
        </w:p>
        <w:p w14:paraId="7DFAAD26" w14:textId="4344FFB0" w:rsidR="001E426C" w:rsidRDefault="00CB1974">
          <w:pPr>
            <w:pStyle w:val="TOC2"/>
            <w:tabs>
              <w:tab w:val="right" w:leader="dot" w:pos="9350"/>
            </w:tabs>
            <w:rPr>
              <w:rFonts w:eastAsiaTheme="minorEastAsia"/>
              <w:lang w:val="en-US"/>
            </w:rPr>
          </w:pPr>
          <w:hyperlink w:anchor="_Toc101439448" w:history="1">
            <w:r w:rsidR="001E426C" w:rsidRPr="006342A0">
              <w:rPr>
                <w:rStyle w:val="Hyperlink"/>
              </w:rPr>
              <w:t>PRIHVATLJIVOST AKTIVNOSTI PODGRANTA</w:t>
            </w:r>
            <w:r w:rsidR="001E426C">
              <w:rPr>
                <w:webHidden/>
              </w:rPr>
              <w:tab/>
            </w:r>
            <w:r w:rsidR="001E426C">
              <w:rPr>
                <w:webHidden/>
              </w:rPr>
              <w:fldChar w:fldCharType="begin"/>
            </w:r>
            <w:r w:rsidR="001E426C">
              <w:rPr>
                <w:webHidden/>
              </w:rPr>
              <w:instrText xml:space="preserve"> PAGEREF _Toc101439448 \h </w:instrText>
            </w:r>
            <w:r w:rsidR="001E426C">
              <w:rPr>
                <w:webHidden/>
              </w:rPr>
            </w:r>
            <w:r w:rsidR="001E426C">
              <w:rPr>
                <w:webHidden/>
              </w:rPr>
              <w:fldChar w:fldCharType="separate"/>
            </w:r>
            <w:r w:rsidR="001E426C">
              <w:rPr>
                <w:webHidden/>
              </w:rPr>
              <w:t>7</w:t>
            </w:r>
            <w:r w:rsidR="001E426C">
              <w:rPr>
                <w:webHidden/>
              </w:rPr>
              <w:fldChar w:fldCharType="end"/>
            </w:r>
          </w:hyperlink>
        </w:p>
        <w:p w14:paraId="14D196A0" w14:textId="2F42827D" w:rsidR="001E426C" w:rsidRDefault="00CB1974">
          <w:pPr>
            <w:pStyle w:val="TOC2"/>
            <w:tabs>
              <w:tab w:val="right" w:leader="dot" w:pos="9350"/>
            </w:tabs>
            <w:rPr>
              <w:rFonts w:eastAsiaTheme="minorEastAsia"/>
              <w:lang w:val="en-US"/>
            </w:rPr>
          </w:pPr>
          <w:hyperlink w:anchor="_Toc101439449" w:history="1">
            <w:r w:rsidR="001E426C" w:rsidRPr="006342A0">
              <w:rPr>
                <w:rStyle w:val="Hyperlink"/>
              </w:rPr>
              <w:t>Prihvatljivi  troškovi</w:t>
            </w:r>
            <w:r w:rsidR="001E426C">
              <w:rPr>
                <w:webHidden/>
              </w:rPr>
              <w:tab/>
            </w:r>
            <w:r w:rsidR="001E426C">
              <w:rPr>
                <w:webHidden/>
              </w:rPr>
              <w:fldChar w:fldCharType="begin"/>
            </w:r>
            <w:r w:rsidR="001E426C">
              <w:rPr>
                <w:webHidden/>
              </w:rPr>
              <w:instrText xml:space="preserve"> PAGEREF _Toc101439449 \h </w:instrText>
            </w:r>
            <w:r w:rsidR="001E426C">
              <w:rPr>
                <w:webHidden/>
              </w:rPr>
            </w:r>
            <w:r w:rsidR="001E426C">
              <w:rPr>
                <w:webHidden/>
              </w:rPr>
              <w:fldChar w:fldCharType="separate"/>
            </w:r>
            <w:r w:rsidR="001E426C">
              <w:rPr>
                <w:webHidden/>
              </w:rPr>
              <w:t>7</w:t>
            </w:r>
            <w:r w:rsidR="001E426C">
              <w:rPr>
                <w:webHidden/>
              </w:rPr>
              <w:fldChar w:fldCharType="end"/>
            </w:r>
          </w:hyperlink>
        </w:p>
        <w:p w14:paraId="478C2981" w14:textId="4C02D706" w:rsidR="001E426C" w:rsidRDefault="00CB1974">
          <w:pPr>
            <w:pStyle w:val="TOC2"/>
            <w:tabs>
              <w:tab w:val="right" w:leader="dot" w:pos="9350"/>
            </w:tabs>
            <w:rPr>
              <w:rFonts w:eastAsiaTheme="minorEastAsia"/>
              <w:lang w:val="en-US"/>
            </w:rPr>
          </w:pPr>
          <w:hyperlink w:anchor="_Toc101439450" w:history="1">
            <w:r w:rsidR="001E426C" w:rsidRPr="006342A0">
              <w:rPr>
                <w:rStyle w:val="Hyperlink"/>
              </w:rPr>
              <w:t>Radni kapital</w:t>
            </w:r>
            <w:r w:rsidR="001E426C">
              <w:rPr>
                <w:webHidden/>
              </w:rPr>
              <w:tab/>
            </w:r>
            <w:r w:rsidR="001E426C">
              <w:rPr>
                <w:webHidden/>
              </w:rPr>
              <w:fldChar w:fldCharType="begin"/>
            </w:r>
            <w:r w:rsidR="001E426C">
              <w:rPr>
                <w:webHidden/>
              </w:rPr>
              <w:instrText xml:space="preserve"> PAGEREF _Toc101439450 \h </w:instrText>
            </w:r>
            <w:r w:rsidR="001E426C">
              <w:rPr>
                <w:webHidden/>
              </w:rPr>
            </w:r>
            <w:r w:rsidR="001E426C">
              <w:rPr>
                <w:webHidden/>
              </w:rPr>
              <w:fldChar w:fldCharType="separate"/>
            </w:r>
            <w:r w:rsidR="001E426C">
              <w:rPr>
                <w:webHidden/>
              </w:rPr>
              <w:t>8</w:t>
            </w:r>
            <w:r w:rsidR="001E426C">
              <w:rPr>
                <w:webHidden/>
              </w:rPr>
              <w:fldChar w:fldCharType="end"/>
            </w:r>
          </w:hyperlink>
        </w:p>
        <w:p w14:paraId="6721083C" w14:textId="01CC9F29" w:rsidR="001E426C" w:rsidRDefault="00CB1974">
          <w:pPr>
            <w:pStyle w:val="TOC3"/>
            <w:tabs>
              <w:tab w:val="right" w:leader="dot" w:pos="9350"/>
            </w:tabs>
            <w:rPr>
              <w:rFonts w:eastAsiaTheme="minorEastAsia"/>
              <w:lang w:val="en-US"/>
            </w:rPr>
          </w:pPr>
          <w:hyperlink w:anchor="_Toc101439451" w:history="1">
            <w:r w:rsidR="001E426C" w:rsidRPr="006342A0">
              <w:rPr>
                <w:rStyle w:val="Hyperlink"/>
              </w:rPr>
              <w:t>Neprihvatljive aktivnosti</w:t>
            </w:r>
            <w:r w:rsidR="001E426C">
              <w:rPr>
                <w:webHidden/>
              </w:rPr>
              <w:tab/>
            </w:r>
            <w:r w:rsidR="001E426C">
              <w:rPr>
                <w:webHidden/>
              </w:rPr>
              <w:fldChar w:fldCharType="begin"/>
            </w:r>
            <w:r w:rsidR="001E426C">
              <w:rPr>
                <w:webHidden/>
              </w:rPr>
              <w:instrText xml:space="preserve"> PAGEREF _Toc101439451 \h </w:instrText>
            </w:r>
            <w:r w:rsidR="001E426C">
              <w:rPr>
                <w:webHidden/>
              </w:rPr>
            </w:r>
            <w:r w:rsidR="001E426C">
              <w:rPr>
                <w:webHidden/>
              </w:rPr>
              <w:fldChar w:fldCharType="separate"/>
            </w:r>
            <w:r w:rsidR="001E426C">
              <w:rPr>
                <w:webHidden/>
              </w:rPr>
              <w:t>8</w:t>
            </w:r>
            <w:r w:rsidR="001E426C">
              <w:rPr>
                <w:webHidden/>
              </w:rPr>
              <w:fldChar w:fldCharType="end"/>
            </w:r>
          </w:hyperlink>
        </w:p>
        <w:p w14:paraId="7945E5D9" w14:textId="45CA4BFE" w:rsidR="001E426C" w:rsidRDefault="00CB1974">
          <w:pPr>
            <w:pStyle w:val="TOC2"/>
            <w:tabs>
              <w:tab w:val="right" w:leader="dot" w:pos="9350"/>
            </w:tabs>
            <w:rPr>
              <w:rFonts w:eastAsiaTheme="minorEastAsia"/>
              <w:lang w:val="en-US"/>
            </w:rPr>
          </w:pPr>
          <w:hyperlink w:anchor="_Toc101439452" w:history="1">
            <w:r w:rsidR="001E426C" w:rsidRPr="006342A0">
              <w:rPr>
                <w:rStyle w:val="Hyperlink"/>
              </w:rPr>
              <w:t>VREMENSKI OKVIR I BUDŽET</w:t>
            </w:r>
            <w:r w:rsidR="001E426C">
              <w:rPr>
                <w:webHidden/>
              </w:rPr>
              <w:tab/>
            </w:r>
            <w:r w:rsidR="001E426C">
              <w:rPr>
                <w:webHidden/>
              </w:rPr>
              <w:fldChar w:fldCharType="begin"/>
            </w:r>
            <w:r w:rsidR="001E426C">
              <w:rPr>
                <w:webHidden/>
              </w:rPr>
              <w:instrText xml:space="preserve"> PAGEREF _Toc101439452 \h </w:instrText>
            </w:r>
            <w:r w:rsidR="001E426C">
              <w:rPr>
                <w:webHidden/>
              </w:rPr>
            </w:r>
            <w:r w:rsidR="001E426C">
              <w:rPr>
                <w:webHidden/>
              </w:rPr>
              <w:fldChar w:fldCharType="separate"/>
            </w:r>
            <w:r w:rsidR="001E426C">
              <w:rPr>
                <w:webHidden/>
              </w:rPr>
              <w:t>9</w:t>
            </w:r>
            <w:r w:rsidR="001E426C">
              <w:rPr>
                <w:webHidden/>
              </w:rPr>
              <w:fldChar w:fldCharType="end"/>
            </w:r>
          </w:hyperlink>
        </w:p>
        <w:p w14:paraId="098F9FEF" w14:textId="4F0721A0" w:rsidR="001E426C" w:rsidRDefault="00CB1974">
          <w:pPr>
            <w:pStyle w:val="TOC1"/>
            <w:tabs>
              <w:tab w:val="right" w:leader="dot" w:pos="9350"/>
            </w:tabs>
            <w:rPr>
              <w:rFonts w:eastAsiaTheme="minorEastAsia"/>
              <w:lang w:val="en-US"/>
            </w:rPr>
          </w:pPr>
          <w:hyperlink w:anchor="_Toc101439453" w:history="1">
            <w:r w:rsidR="001E426C" w:rsidRPr="006342A0">
              <w:rPr>
                <w:rStyle w:val="Hyperlink"/>
              </w:rPr>
              <w:t>KRITERIJUMI I PROCES EVALUACIJE PODGRANTOVA ZA PODGRANTE ZAJEDNICE ZA TINEJDŽERE I ZA PODGRANTE ZAJEDNICE ZA MLADE ODRASLE OSOBE</w:t>
            </w:r>
            <w:r w:rsidR="001E426C">
              <w:rPr>
                <w:webHidden/>
              </w:rPr>
              <w:tab/>
            </w:r>
            <w:r w:rsidR="001E426C">
              <w:rPr>
                <w:webHidden/>
              </w:rPr>
              <w:fldChar w:fldCharType="begin"/>
            </w:r>
            <w:r w:rsidR="001E426C">
              <w:rPr>
                <w:webHidden/>
              </w:rPr>
              <w:instrText xml:space="preserve"> PAGEREF _Toc101439453 \h </w:instrText>
            </w:r>
            <w:r w:rsidR="001E426C">
              <w:rPr>
                <w:webHidden/>
              </w:rPr>
            </w:r>
            <w:r w:rsidR="001E426C">
              <w:rPr>
                <w:webHidden/>
              </w:rPr>
              <w:fldChar w:fldCharType="separate"/>
            </w:r>
            <w:r w:rsidR="001E426C">
              <w:rPr>
                <w:webHidden/>
              </w:rPr>
              <w:t>10</w:t>
            </w:r>
            <w:r w:rsidR="001E426C">
              <w:rPr>
                <w:webHidden/>
              </w:rPr>
              <w:fldChar w:fldCharType="end"/>
            </w:r>
          </w:hyperlink>
        </w:p>
        <w:p w14:paraId="65F74F17" w14:textId="6F4E492D" w:rsidR="001E426C" w:rsidRDefault="00CB1974">
          <w:pPr>
            <w:pStyle w:val="TOC2"/>
            <w:tabs>
              <w:tab w:val="right" w:leader="dot" w:pos="9350"/>
            </w:tabs>
            <w:rPr>
              <w:rFonts w:eastAsiaTheme="minorEastAsia"/>
              <w:lang w:val="en-US"/>
            </w:rPr>
          </w:pPr>
          <w:hyperlink w:anchor="_Toc101439454" w:history="1">
            <w:r w:rsidR="001E426C" w:rsidRPr="006342A0">
              <w:rPr>
                <w:rStyle w:val="Hyperlink"/>
              </w:rPr>
              <w:t>Kriterijumi za odabir podgrantova zajednice za tinejdžere:</w:t>
            </w:r>
            <w:r w:rsidR="001E426C">
              <w:rPr>
                <w:webHidden/>
              </w:rPr>
              <w:tab/>
            </w:r>
            <w:r w:rsidR="001E426C">
              <w:rPr>
                <w:webHidden/>
              </w:rPr>
              <w:fldChar w:fldCharType="begin"/>
            </w:r>
            <w:r w:rsidR="001E426C">
              <w:rPr>
                <w:webHidden/>
              </w:rPr>
              <w:instrText xml:space="preserve"> PAGEREF _Toc101439454 \h </w:instrText>
            </w:r>
            <w:r w:rsidR="001E426C">
              <w:rPr>
                <w:webHidden/>
              </w:rPr>
            </w:r>
            <w:r w:rsidR="001E426C">
              <w:rPr>
                <w:webHidden/>
              </w:rPr>
              <w:fldChar w:fldCharType="separate"/>
            </w:r>
            <w:r w:rsidR="001E426C">
              <w:rPr>
                <w:webHidden/>
              </w:rPr>
              <w:t>10</w:t>
            </w:r>
            <w:r w:rsidR="001E426C">
              <w:rPr>
                <w:webHidden/>
              </w:rPr>
              <w:fldChar w:fldCharType="end"/>
            </w:r>
          </w:hyperlink>
        </w:p>
        <w:p w14:paraId="5BA21931" w14:textId="1C5FF63D" w:rsidR="001E426C" w:rsidRDefault="00CB1974">
          <w:pPr>
            <w:pStyle w:val="TOC2"/>
            <w:tabs>
              <w:tab w:val="right" w:leader="dot" w:pos="9350"/>
            </w:tabs>
            <w:rPr>
              <w:rFonts w:eastAsiaTheme="minorEastAsia"/>
              <w:lang w:val="en-US"/>
            </w:rPr>
          </w:pPr>
          <w:hyperlink w:anchor="_Toc101439455" w:history="1">
            <w:r w:rsidR="001E426C" w:rsidRPr="006342A0">
              <w:rPr>
                <w:rStyle w:val="Hyperlink"/>
              </w:rPr>
              <w:t>Kriterijumi za odabir podgrantova zajednice za mlade odrasle osobe:</w:t>
            </w:r>
            <w:r w:rsidR="001E426C">
              <w:rPr>
                <w:webHidden/>
              </w:rPr>
              <w:tab/>
            </w:r>
            <w:r w:rsidR="001E426C">
              <w:rPr>
                <w:webHidden/>
              </w:rPr>
              <w:fldChar w:fldCharType="begin"/>
            </w:r>
            <w:r w:rsidR="001E426C">
              <w:rPr>
                <w:webHidden/>
              </w:rPr>
              <w:instrText xml:space="preserve"> PAGEREF _Toc101439455 \h </w:instrText>
            </w:r>
            <w:r w:rsidR="001E426C">
              <w:rPr>
                <w:webHidden/>
              </w:rPr>
            </w:r>
            <w:r w:rsidR="001E426C">
              <w:rPr>
                <w:webHidden/>
              </w:rPr>
              <w:fldChar w:fldCharType="separate"/>
            </w:r>
            <w:r w:rsidR="001E426C">
              <w:rPr>
                <w:webHidden/>
              </w:rPr>
              <w:t>10</w:t>
            </w:r>
            <w:r w:rsidR="001E426C">
              <w:rPr>
                <w:webHidden/>
              </w:rPr>
              <w:fldChar w:fldCharType="end"/>
            </w:r>
          </w:hyperlink>
        </w:p>
        <w:p w14:paraId="74AD65F5" w14:textId="69DB4153" w:rsidR="001E426C" w:rsidRDefault="00CB1974">
          <w:pPr>
            <w:pStyle w:val="TOC2"/>
            <w:tabs>
              <w:tab w:val="right" w:leader="dot" w:pos="9350"/>
            </w:tabs>
            <w:rPr>
              <w:rFonts w:eastAsiaTheme="minorEastAsia"/>
              <w:lang w:val="en-US"/>
            </w:rPr>
          </w:pPr>
          <w:hyperlink w:anchor="_Toc101439456" w:history="1">
            <w:r w:rsidR="001E426C" w:rsidRPr="006342A0">
              <w:rPr>
                <w:rStyle w:val="Hyperlink"/>
              </w:rPr>
              <w:t>Načela i koraci evaluacije:</w:t>
            </w:r>
            <w:r w:rsidR="001E426C">
              <w:rPr>
                <w:webHidden/>
              </w:rPr>
              <w:tab/>
            </w:r>
            <w:r w:rsidR="001E426C">
              <w:rPr>
                <w:webHidden/>
              </w:rPr>
              <w:fldChar w:fldCharType="begin"/>
            </w:r>
            <w:r w:rsidR="001E426C">
              <w:rPr>
                <w:webHidden/>
              </w:rPr>
              <w:instrText xml:space="preserve"> PAGEREF _Toc101439456 \h </w:instrText>
            </w:r>
            <w:r w:rsidR="001E426C">
              <w:rPr>
                <w:webHidden/>
              </w:rPr>
            </w:r>
            <w:r w:rsidR="001E426C">
              <w:rPr>
                <w:webHidden/>
              </w:rPr>
              <w:fldChar w:fldCharType="separate"/>
            </w:r>
            <w:r w:rsidR="001E426C">
              <w:rPr>
                <w:webHidden/>
              </w:rPr>
              <w:t>10</w:t>
            </w:r>
            <w:r w:rsidR="001E426C">
              <w:rPr>
                <w:webHidden/>
              </w:rPr>
              <w:fldChar w:fldCharType="end"/>
            </w:r>
          </w:hyperlink>
        </w:p>
        <w:p w14:paraId="3B2D5D31" w14:textId="4E5B3E3B" w:rsidR="001E426C" w:rsidRDefault="00CB1974">
          <w:pPr>
            <w:pStyle w:val="TOC2"/>
            <w:tabs>
              <w:tab w:val="right" w:leader="dot" w:pos="9350"/>
            </w:tabs>
            <w:rPr>
              <w:rFonts w:eastAsiaTheme="minorEastAsia"/>
              <w:lang w:val="en-US"/>
            </w:rPr>
          </w:pPr>
          <w:hyperlink w:anchor="_Toc101439457" w:history="1">
            <w:r w:rsidR="001E426C" w:rsidRPr="006342A0">
              <w:rPr>
                <w:rStyle w:val="Hyperlink"/>
              </w:rPr>
              <w:t>POTPISIVANJE UGOVORA O PODGRANITU</w:t>
            </w:r>
            <w:r w:rsidR="001E426C">
              <w:rPr>
                <w:webHidden/>
              </w:rPr>
              <w:tab/>
            </w:r>
            <w:r w:rsidR="001E426C">
              <w:rPr>
                <w:webHidden/>
              </w:rPr>
              <w:fldChar w:fldCharType="begin"/>
            </w:r>
            <w:r w:rsidR="001E426C">
              <w:rPr>
                <w:webHidden/>
              </w:rPr>
              <w:instrText xml:space="preserve"> PAGEREF _Toc101439457 \h </w:instrText>
            </w:r>
            <w:r w:rsidR="001E426C">
              <w:rPr>
                <w:webHidden/>
              </w:rPr>
            </w:r>
            <w:r w:rsidR="001E426C">
              <w:rPr>
                <w:webHidden/>
              </w:rPr>
              <w:fldChar w:fldCharType="separate"/>
            </w:r>
            <w:r w:rsidR="001E426C">
              <w:rPr>
                <w:webHidden/>
              </w:rPr>
              <w:t>12</w:t>
            </w:r>
            <w:r w:rsidR="001E426C">
              <w:rPr>
                <w:webHidden/>
              </w:rPr>
              <w:fldChar w:fldCharType="end"/>
            </w:r>
          </w:hyperlink>
        </w:p>
        <w:p w14:paraId="565CFDF0" w14:textId="2E91E1A3" w:rsidR="001E426C" w:rsidRDefault="00CB1974">
          <w:pPr>
            <w:pStyle w:val="TOC2"/>
            <w:tabs>
              <w:tab w:val="right" w:leader="dot" w:pos="9350"/>
            </w:tabs>
            <w:rPr>
              <w:rFonts w:eastAsiaTheme="minorEastAsia"/>
              <w:lang w:val="en-US"/>
            </w:rPr>
          </w:pPr>
          <w:hyperlink w:anchor="_Toc101439458" w:history="1">
            <w:r w:rsidR="001E426C" w:rsidRPr="006342A0">
              <w:rPr>
                <w:rStyle w:val="Hyperlink"/>
              </w:rPr>
              <w:t>MEHANIZAM PODNOŠENJA ŽALBI</w:t>
            </w:r>
            <w:r w:rsidR="001E426C">
              <w:rPr>
                <w:webHidden/>
              </w:rPr>
              <w:tab/>
            </w:r>
            <w:r w:rsidR="001E426C">
              <w:rPr>
                <w:webHidden/>
              </w:rPr>
              <w:fldChar w:fldCharType="begin"/>
            </w:r>
            <w:r w:rsidR="001E426C">
              <w:rPr>
                <w:webHidden/>
              </w:rPr>
              <w:instrText xml:space="preserve"> PAGEREF _Toc101439458 \h </w:instrText>
            </w:r>
            <w:r w:rsidR="001E426C">
              <w:rPr>
                <w:webHidden/>
              </w:rPr>
            </w:r>
            <w:r w:rsidR="001E426C">
              <w:rPr>
                <w:webHidden/>
              </w:rPr>
              <w:fldChar w:fldCharType="separate"/>
            </w:r>
            <w:r w:rsidR="001E426C">
              <w:rPr>
                <w:webHidden/>
              </w:rPr>
              <w:t>12</w:t>
            </w:r>
            <w:r w:rsidR="001E426C">
              <w:rPr>
                <w:webHidden/>
              </w:rPr>
              <w:fldChar w:fldCharType="end"/>
            </w:r>
          </w:hyperlink>
        </w:p>
        <w:p w14:paraId="4886B18F" w14:textId="6C1AD696" w:rsidR="001E426C" w:rsidRDefault="00CB1974">
          <w:pPr>
            <w:pStyle w:val="TOC2"/>
            <w:tabs>
              <w:tab w:val="right" w:leader="dot" w:pos="9350"/>
            </w:tabs>
            <w:rPr>
              <w:rFonts w:eastAsiaTheme="minorEastAsia"/>
              <w:lang w:val="en-US"/>
            </w:rPr>
          </w:pPr>
          <w:hyperlink w:anchor="_Toc101439459" w:history="1">
            <w:r w:rsidR="001E426C" w:rsidRPr="006342A0">
              <w:rPr>
                <w:rStyle w:val="Hyperlink"/>
              </w:rPr>
              <w:t>PODNOŠENJE PRIJAVA</w:t>
            </w:r>
            <w:r w:rsidR="001E426C">
              <w:rPr>
                <w:webHidden/>
              </w:rPr>
              <w:tab/>
            </w:r>
            <w:r w:rsidR="001E426C">
              <w:rPr>
                <w:webHidden/>
              </w:rPr>
              <w:fldChar w:fldCharType="begin"/>
            </w:r>
            <w:r w:rsidR="001E426C">
              <w:rPr>
                <w:webHidden/>
              </w:rPr>
              <w:instrText xml:space="preserve"> PAGEREF _Toc101439459 \h </w:instrText>
            </w:r>
            <w:r w:rsidR="001E426C">
              <w:rPr>
                <w:webHidden/>
              </w:rPr>
            </w:r>
            <w:r w:rsidR="001E426C">
              <w:rPr>
                <w:webHidden/>
              </w:rPr>
              <w:fldChar w:fldCharType="separate"/>
            </w:r>
            <w:r w:rsidR="001E426C">
              <w:rPr>
                <w:webHidden/>
              </w:rPr>
              <w:t>12</w:t>
            </w:r>
            <w:r w:rsidR="001E426C">
              <w:rPr>
                <w:webHidden/>
              </w:rPr>
              <w:fldChar w:fldCharType="end"/>
            </w:r>
          </w:hyperlink>
        </w:p>
        <w:p w14:paraId="72569ED3" w14:textId="66285037" w:rsidR="001E426C" w:rsidRDefault="00CB1974">
          <w:pPr>
            <w:pStyle w:val="TOC1"/>
            <w:tabs>
              <w:tab w:val="right" w:leader="dot" w:pos="9350"/>
            </w:tabs>
            <w:rPr>
              <w:rFonts w:eastAsiaTheme="minorEastAsia"/>
              <w:lang w:val="en-US"/>
            </w:rPr>
          </w:pPr>
          <w:hyperlink w:anchor="_Toc101439460" w:history="1">
            <w:r w:rsidR="001E426C" w:rsidRPr="006342A0">
              <w:rPr>
                <w:rStyle w:val="Hyperlink"/>
                <w:shd w:val="clear" w:color="auto" w:fill="FFFFFF"/>
              </w:rPr>
              <w:t>ROK ZA PRIJAVU</w:t>
            </w:r>
            <w:r w:rsidR="001E426C">
              <w:rPr>
                <w:webHidden/>
              </w:rPr>
              <w:tab/>
            </w:r>
            <w:r w:rsidR="001E426C">
              <w:rPr>
                <w:webHidden/>
              </w:rPr>
              <w:fldChar w:fldCharType="begin"/>
            </w:r>
            <w:r w:rsidR="001E426C">
              <w:rPr>
                <w:webHidden/>
              </w:rPr>
              <w:instrText xml:space="preserve"> PAGEREF _Toc101439460 \h </w:instrText>
            </w:r>
            <w:r w:rsidR="001E426C">
              <w:rPr>
                <w:webHidden/>
              </w:rPr>
            </w:r>
            <w:r w:rsidR="001E426C">
              <w:rPr>
                <w:webHidden/>
              </w:rPr>
              <w:fldChar w:fldCharType="separate"/>
            </w:r>
            <w:r w:rsidR="001E426C">
              <w:rPr>
                <w:webHidden/>
              </w:rPr>
              <w:t>13</w:t>
            </w:r>
            <w:r w:rsidR="001E426C">
              <w:rPr>
                <w:webHidden/>
              </w:rPr>
              <w:fldChar w:fldCharType="end"/>
            </w:r>
          </w:hyperlink>
        </w:p>
        <w:p w14:paraId="37786B72" w14:textId="339A3EF9" w:rsidR="001E426C" w:rsidRDefault="001E426C">
          <w:r>
            <w:rPr>
              <w:b/>
              <w:bCs/>
            </w:rPr>
            <w:fldChar w:fldCharType="end"/>
          </w:r>
        </w:p>
      </w:sdtContent>
    </w:sdt>
    <w:p w14:paraId="55D97F88" w14:textId="5A984429" w:rsidR="001E426C" w:rsidRDefault="001E426C" w:rsidP="005A7420">
      <w:pPr>
        <w:jc w:val="center"/>
        <w:rPr>
          <w:b/>
          <w:sz w:val="20"/>
          <w:szCs w:val="20"/>
        </w:rPr>
      </w:pPr>
    </w:p>
    <w:p w14:paraId="1E7BCC83" w14:textId="0E617B7C" w:rsidR="001E426C" w:rsidRDefault="001E426C" w:rsidP="005A7420">
      <w:pPr>
        <w:jc w:val="center"/>
        <w:rPr>
          <w:b/>
          <w:sz w:val="20"/>
          <w:szCs w:val="20"/>
        </w:rPr>
      </w:pPr>
    </w:p>
    <w:p w14:paraId="4CCAF8DF" w14:textId="77777777" w:rsidR="001E426C" w:rsidRDefault="001E426C" w:rsidP="005A7420">
      <w:pPr>
        <w:jc w:val="center"/>
        <w:rPr>
          <w:b/>
          <w:sz w:val="20"/>
          <w:szCs w:val="20"/>
        </w:rPr>
      </w:pPr>
    </w:p>
    <w:p w14:paraId="6D307215" w14:textId="393F8B8D" w:rsidR="005A7420" w:rsidRPr="00586DCF" w:rsidRDefault="005A7420" w:rsidP="005A7420">
      <w:pPr>
        <w:jc w:val="center"/>
        <w:rPr>
          <w:rFonts w:cs="Calibri"/>
          <w:b/>
          <w:sz w:val="20"/>
          <w:szCs w:val="20"/>
        </w:rPr>
      </w:pPr>
      <w:r w:rsidRPr="00884A5D">
        <w:rPr>
          <w:b/>
          <w:sz w:val="20"/>
          <w:szCs w:val="20"/>
        </w:rPr>
        <w:lastRenderedPageBreak/>
        <w:t>POZIVI ZA PODNOŠENJE PREDLOGA PROJEKTA ZA TINEJDŽERE (15-18 GODINA) I ZAJEDNIČKE PREDLOGE ZA MLADE OSOBE (18-24 GODINA)</w:t>
      </w:r>
      <w:r w:rsidRPr="00586DCF">
        <w:rPr>
          <w:rFonts w:cs="Calibri"/>
          <w:b/>
          <w:sz w:val="20"/>
          <w:szCs w:val="20"/>
        </w:rPr>
        <w:t>)</w:t>
      </w:r>
    </w:p>
    <w:p w14:paraId="76957797" w14:textId="5E6B6A28" w:rsidR="005A7420" w:rsidRPr="00586DCF" w:rsidRDefault="005A7420" w:rsidP="005A7420">
      <w:pPr>
        <w:jc w:val="both"/>
        <w:rPr>
          <w:sz w:val="20"/>
          <w:szCs w:val="20"/>
        </w:rPr>
      </w:pPr>
      <w:r w:rsidRPr="00884A5D">
        <w:rPr>
          <w:rFonts w:eastAsia="Cambria"/>
          <w:sz w:val="20"/>
          <w:szCs w:val="20"/>
        </w:rPr>
        <w:t xml:space="preserve">Ministarstvo administracije lokalne samouprave, kao agencija za sprovođenje projekta Opštine za mlade (M4Y), finansiranog od strane Vlade Japana kroz podršku dobijenu u okviru Japanskog fonda za socijalni razvoj i kojom upravlja Svetska banka, poziva tinejdžere od 15-18 godina starosne dobi (srednja škola), kao i mlade odrasle osobe i omladinske organizacije kojima upravljaju mladi od 18 do 24 godine (posle srednje škole) iz opštine </w:t>
      </w:r>
      <w:r w:rsidR="00D570FF" w:rsidRPr="00D570FF">
        <w:rPr>
          <w:rFonts w:eastAsia="Calibri" w:cstheme="minorHAnsi"/>
          <w:bCs/>
        </w:rPr>
        <w:t>Vučitrn</w:t>
      </w:r>
      <w:r w:rsidRPr="00884A5D">
        <w:rPr>
          <w:rFonts w:eastAsia="Cambria"/>
          <w:sz w:val="20"/>
          <w:szCs w:val="20"/>
        </w:rPr>
        <w:t>, da se prijave za finansijsku podršku sa potprojektima koji doprinose povećanju socioekonomskih mogućnosti za marginalizirane mlade (od 15-24</w:t>
      </w:r>
      <w:r w:rsidRPr="00586DCF">
        <w:rPr>
          <w:sz w:val="20"/>
          <w:szCs w:val="20"/>
        </w:rPr>
        <w:t>).</w:t>
      </w:r>
    </w:p>
    <w:p w14:paraId="5F19C9EC" w14:textId="77777777" w:rsidR="005A7420" w:rsidRPr="00586DCF" w:rsidRDefault="005A7420" w:rsidP="001C59B7">
      <w:pPr>
        <w:pStyle w:val="Heading1"/>
      </w:pPr>
      <w:bookmarkStart w:id="0" w:name="_Toc101439435"/>
      <w:r w:rsidRPr="00884A5D">
        <w:t>VELIČINA I OBIM PODGRANTA</w:t>
      </w:r>
      <w:bookmarkEnd w:id="0"/>
    </w:p>
    <w:p w14:paraId="7B645C7D" w14:textId="77777777" w:rsidR="005A7420" w:rsidRPr="00586DCF" w:rsidRDefault="005A7420" w:rsidP="005A7420">
      <w:pPr>
        <w:autoSpaceDE w:val="0"/>
        <w:autoSpaceDN w:val="0"/>
        <w:adjustRightInd w:val="0"/>
        <w:jc w:val="both"/>
        <w:rPr>
          <w:rFonts w:cstheme="minorHAnsi"/>
          <w:sz w:val="20"/>
          <w:szCs w:val="20"/>
        </w:rPr>
      </w:pPr>
      <w:r w:rsidRPr="00586DCF">
        <w:rPr>
          <w:rFonts w:cstheme="minorHAnsi"/>
          <w:sz w:val="20"/>
          <w:szCs w:val="20"/>
        </w:rPr>
        <w:br/>
      </w:r>
      <w:r w:rsidRPr="00884A5D">
        <w:rPr>
          <w:rFonts w:cstheme="minorHAnsi"/>
          <w:sz w:val="20"/>
          <w:szCs w:val="20"/>
        </w:rPr>
        <w:t>Postojaće dve vrste podgrantova na osnovu dobi i kapaciteta primalaca: manji podgrantovi u zajednici za tinejdžere (15-18 godina) i veći podgrantovi zajednice za mlade odrasle i organizacije koje vode zajednice (18-24 godine). Prva kategorija je fokusirana na male inicijative koje donose kratkoročne koristi zajednicama i mogu ih osmisliti i sprovoditi tinejdžeri bez spoljne podrške. Druga kategorija je fokusirana na poboljšanje objekata u zajednici za mlade žene i muškarce za društvene i ekonomske aktivnosti. Ovi potprojekti mogu biti tehnički složeni i zahtevaju angažman spoljnih stručnjaka</w:t>
      </w:r>
      <w:r w:rsidRPr="00586DCF">
        <w:rPr>
          <w:rFonts w:cstheme="minorHAnsi"/>
          <w:sz w:val="20"/>
          <w:szCs w:val="20"/>
        </w:rPr>
        <w:t xml:space="preserve">. </w:t>
      </w:r>
    </w:p>
    <w:tbl>
      <w:tblPr>
        <w:tblpPr w:leftFromText="180" w:rightFromText="180" w:vertAnchor="text" w:horzAnchor="margin" w:tblpY="115"/>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8"/>
        <w:gridCol w:w="3792"/>
        <w:gridCol w:w="4220"/>
      </w:tblGrid>
      <w:tr w:rsidR="005A7420" w:rsidRPr="00586DCF" w14:paraId="5D0F4AE6" w14:textId="77777777" w:rsidTr="00E440B5">
        <w:tc>
          <w:tcPr>
            <w:tcW w:w="1528" w:type="dxa"/>
            <w:shd w:val="clear" w:color="auto" w:fill="D9D9D9"/>
          </w:tcPr>
          <w:p w14:paraId="543D2DFB" w14:textId="77777777" w:rsidR="005A7420" w:rsidRPr="00586DCF" w:rsidRDefault="005A7420" w:rsidP="00E440B5">
            <w:pPr>
              <w:rPr>
                <w:rFonts w:cs="Calibri"/>
                <w:b/>
                <w:sz w:val="20"/>
                <w:szCs w:val="20"/>
              </w:rPr>
            </w:pPr>
          </w:p>
        </w:tc>
        <w:tc>
          <w:tcPr>
            <w:tcW w:w="3792" w:type="dxa"/>
            <w:shd w:val="clear" w:color="auto" w:fill="D9D9D9"/>
          </w:tcPr>
          <w:p w14:paraId="4A19D8B7" w14:textId="77777777" w:rsidR="005A7420" w:rsidRPr="00586DCF" w:rsidRDefault="005A7420" w:rsidP="00E440B5">
            <w:pPr>
              <w:rPr>
                <w:rFonts w:cs="Calibri"/>
                <w:b/>
                <w:sz w:val="20"/>
                <w:szCs w:val="20"/>
              </w:rPr>
            </w:pPr>
            <w:r w:rsidRPr="00884A5D">
              <w:rPr>
                <w:rFonts w:cs="Calibri"/>
                <w:b/>
                <w:sz w:val="20"/>
                <w:szCs w:val="20"/>
              </w:rPr>
              <w:t xml:space="preserve">Podgrantovi zajednice za tinejdžere </w:t>
            </w:r>
            <w:r w:rsidRPr="00586DCF">
              <w:rPr>
                <w:rFonts w:cs="Calibri"/>
                <w:b/>
                <w:sz w:val="20"/>
                <w:szCs w:val="20"/>
              </w:rPr>
              <w:t>(15-18)</w:t>
            </w:r>
          </w:p>
        </w:tc>
        <w:tc>
          <w:tcPr>
            <w:tcW w:w="4220" w:type="dxa"/>
            <w:shd w:val="clear" w:color="auto" w:fill="D9D9D9"/>
          </w:tcPr>
          <w:p w14:paraId="5C9BB8D9" w14:textId="77777777" w:rsidR="005A7420" w:rsidRPr="00586DCF" w:rsidRDefault="005A7420" w:rsidP="00E440B5">
            <w:pPr>
              <w:rPr>
                <w:rFonts w:cs="Calibri"/>
                <w:b/>
                <w:sz w:val="20"/>
                <w:szCs w:val="20"/>
              </w:rPr>
            </w:pPr>
            <w:r w:rsidRPr="00884A5D">
              <w:rPr>
                <w:rFonts w:cs="Calibri"/>
                <w:b/>
                <w:sz w:val="20"/>
                <w:szCs w:val="20"/>
              </w:rPr>
              <w:t xml:space="preserve">Podgrantovi zajednice za </w:t>
            </w:r>
            <w:r>
              <w:rPr>
                <w:rFonts w:cs="Calibri"/>
                <w:b/>
                <w:sz w:val="20"/>
                <w:szCs w:val="20"/>
              </w:rPr>
              <w:t>mlade</w:t>
            </w:r>
            <w:r w:rsidRPr="00884A5D">
              <w:rPr>
                <w:rFonts w:cs="Calibri"/>
                <w:b/>
                <w:sz w:val="20"/>
                <w:szCs w:val="20"/>
              </w:rPr>
              <w:t xml:space="preserve"> </w:t>
            </w:r>
            <w:r w:rsidRPr="00586DCF">
              <w:rPr>
                <w:rFonts w:cs="Calibri"/>
                <w:b/>
                <w:sz w:val="20"/>
                <w:szCs w:val="20"/>
              </w:rPr>
              <w:t>(18-24)</w:t>
            </w:r>
          </w:p>
        </w:tc>
      </w:tr>
      <w:tr w:rsidR="005A7420" w:rsidRPr="00586DCF" w14:paraId="615A72FA" w14:textId="77777777" w:rsidTr="00E440B5">
        <w:tc>
          <w:tcPr>
            <w:tcW w:w="1528" w:type="dxa"/>
          </w:tcPr>
          <w:p w14:paraId="2EB9533D" w14:textId="77777777" w:rsidR="005A7420" w:rsidRPr="00586DCF" w:rsidRDefault="005A7420" w:rsidP="00E440B5">
            <w:pPr>
              <w:rPr>
                <w:rFonts w:cs="Calibri"/>
                <w:sz w:val="20"/>
                <w:szCs w:val="20"/>
              </w:rPr>
            </w:pPr>
            <w:r>
              <w:rPr>
                <w:rFonts w:cs="Calibri"/>
                <w:sz w:val="20"/>
                <w:szCs w:val="20"/>
              </w:rPr>
              <w:t>Tehnička izvodljivost</w:t>
            </w:r>
          </w:p>
        </w:tc>
        <w:tc>
          <w:tcPr>
            <w:tcW w:w="3792" w:type="dxa"/>
          </w:tcPr>
          <w:p w14:paraId="16BB2467" w14:textId="77777777" w:rsidR="005A7420" w:rsidRPr="00586DCF" w:rsidRDefault="005A7420" w:rsidP="00E440B5">
            <w:pPr>
              <w:rPr>
                <w:rFonts w:cs="Calibri"/>
                <w:sz w:val="20"/>
                <w:szCs w:val="20"/>
              </w:rPr>
            </w:pPr>
            <w:r w:rsidRPr="00884A5D">
              <w:rPr>
                <w:rFonts w:cs="Calibri"/>
                <w:sz w:val="20"/>
                <w:szCs w:val="20"/>
              </w:rPr>
              <w:t xml:space="preserve">Tinejdžeri moraju imati kapacitet da sami osmisle i sprovedu predloženi potprojekat. Treba izbegavati visoko složene podprojekte koji zahtevaju spoljnu ekspertizu za izvođenje </w:t>
            </w:r>
            <w:r w:rsidRPr="00586DCF">
              <w:rPr>
                <w:rFonts w:cs="Calibri"/>
                <w:sz w:val="20"/>
                <w:szCs w:val="20"/>
              </w:rPr>
              <w:t xml:space="preserve">. </w:t>
            </w:r>
          </w:p>
          <w:p w14:paraId="247043B5" w14:textId="77777777" w:rsidR="005A7420" w:rsidRPr="00586DCF" w:rsidRDefault="005A7420" w:rsidP="00E440B5">
            <w:pPr>
              <w:rPr>
                <w:rFonts w:cs="Calibri"/>
                <w:sz w:val="20"/>
                <w:szCs w:val="20"/>
              </w:rPr>
            </w:pPr>
          </w:p>
        </w:tc>
        <w:tc>
          <w:tcPr>
            <w:tcW w:w="4220" w:type="dxa"/>
          </w:tcPr>
          <w:p w14:paraId="01E24AC1" w14:textId="77777777" w:rsidR="005A7420" w:rsidRPr="00586DCF" w:rsidRDefault="005A7420" w:rsidP="00E440B5">
            <w:pPr>
              <w:rPr>
                <w:rFonts w:cs="Calibri"/>
                <w:sz w:val="20"/>
                <w:szCs w:val="20"/>
              </w:rPr>
            </w:pPr>
            <w:r w:rsidRPr="00884A5D">
              <w:rPr>
                <w:rFonts w:cs="Calibri"/>
                <w:sz w:val="20"/>
                <w:szCs w:val="20"/>
              </w:rPr>
              <w:t>Mladi odrasli mogu angažovati spoljnu ekspertizu za dizajn i izvođenje predloženih tehničkih rešenja, po potrebi. Mladi moraju budžetirati troškove ove ekspertize (pružaoci usluga i izvođači), uključujući stručnost potrebnu za razvoj tehničkih specifikacija i sprovođenje aktivnosti. Za kapitalne investicije, opštinsko inženjersko osoblje i volonteri zajednice će olakšati razvoj specifikacija</w:t>
            </w:r>
            <w:r w:rsidRPr="00586DCF">
              <w:rPr>
                <w:rFonts w:cs="Calibri"/>
                <w:sz w:val="20"/>
                <w:szCs w:val="20"/>
              </w:rPr>
              <w:t xml:space="preserve">. </w:t>
            </w:r>
          </w:p>
        </w:tc>
      </w:tr>
      <w:tr w:rsidR="005A7420" w:rsidRPr="00586DCF" w14:paraId="648BEC10" w14:textId="77777777" w:rsidTr="00E440B5">
        <w:tc>
          <w:tcPr>
            <w:tcW w:w="1528" w:type="dxa"/>
          </w:tcPr>
          <w:p w14:paraId="65F9C8BF" w14:textId="77777777" w:rsidR="005A7420" w:rsidRPr="00586DCF" w:rsidRDefault="005A7420" w:rsidP="00E440B5">
            <w:pPr>
              <w:rPr>
                <w:rFonts w:cs="Calibri"/>
                <w:sz w:val="20"/>
                <w:szCs w:val="20"/>
              </w:rPr>
            </w:pPr>
            <w:r w:rsidRPr="00884A5D">
              <w:rPr>
                <w:rFonts w:cs="Calibri"/>
                <w:sz w:val="20"/>
                <w:szCs w:val="20"/>
              </w:rPr>
              <w:t>Kategorije i primeri podprojekata</w:t>
            </w:r>
          </w:p>
        </w:tc>
        <w:tc>
          <w:tcPr>
            <w:tcW w:w="3792" w:type="dxa"/>
          </w:tcPr>
          <w:p w14:paraId="3A9735C2" w14:textId="77777777" w:rsidR="005A7420" w:rsidRPr="00586DCF" w:rsidRDefault="005A7420" w:rsidP="00E440B5">
            <w:pPr>
              <w:rPr>
                <w:rFonts w:cs="Calibri"/>
                <w:sz w:val="20"/>
                <w:szCs w:val="20"/>
              </w:rPr>
            </w:pPr>
            <w:r w:rsidRPr="00884A5D">
              <w:rPr>
                <w:rFonts w:cs="Calibri"/>
                <w:i/>
                <w:iCs/>
                <w:sz w:val="20"/>
                <w:szCs w:val="20"/>
              </w:rPr>
              <w:t xml:space="preserve">Manje društvene usluge i aktivnosti, kao što su kampanje podizanja svesti o energetskoj efikasnosti, inicijative za recikliranje i čišćenje, igre za mlade sa invaliditetom </w:t>
            </w:r>
            <w:r w:rsidRPr="00586DCF">
              <w:rPr>
                <w:rFonts w:cs="Calibri"/>
                <w:sz w:val="20"/>
                <w:szCs w:val="20"/>
              </w:rPr>
              <w:t>.</w:t>
            </w:r>
          </w:p>
          <w:p w14:paraId="55F61C4E" w14:textId="77777777" w:rsidR="005A7420" w:rsidRPr="00586DCF" w:rsidRDefault="005A7420" w:rsidP="00E440B5">
            <w:pPr>
              <w:rPr>
                <w:rFonts w:cs="Calibri"/>
                <w:sz w:val="20"/>
                <w:szCs w:val="20"/>
              </w:rPr>
            </w:pPr>
            <w:r w:rsidRPr="00884A5D">
              <w:rPr>
                <w:rFonts w:cs="Calibri"/>
                <w:i/>
                <w:iCs/>
                <w:sz w:val="20"/>
                <w:szCs w:val="20"/>
              </w:rPr>
              <w:t xml:space="preserve">Kupovina manje opreme opreme za omladinske prostore u zajednici, kao npr. sportske opreme i muzičkih instrumenata </w:t>
            </w:r>
            <w:r w:rsidRPr="00586DCF">
              <w:rPr>
                <w:rFonts w:cstheme="minorHAnsi"/>
                <w:sz w:val="20"/>
                <w:szCs w:val="20"/>
              </w:rPr>
              <w:t>.</w:t>
            </w:r>
          </w:p>
        </w:tc>
        <w:tc>
          <w:tcPr>
            <w:tcW w:w="4220" w:type="dxa"/>
          </w:tcPr>
          <w:p w14:paraId="5DA8CB74" w14:textId="77777777" w:rsidR="005A7420" w:rsidRPr="00884A5D" w:rsidRDefault="005A7420" w:rsidP="00E440B5">
            <w:pPr>
              <w:spacing w:line="200" w:lineRule="exact"/>
              <w:jc w:val="both"/>
              <w:rPr>
                <w:rFonts w:cs="Calibri"/>
                <w:i/>
                <w:iCs/>
                <w:sz w:val="20"/>
                <w:szCs w:val="20"/>
              </w:rPr>
            </w:pPr>
            <w:r w:rsidRPr="00884A5D">
              <w:rPr>
                <w:rFonts w:cs="Calibri"/>
                <w:i/>
                <w:iCs/>
                <w:sz w:val="20"/>
                <w:szCs w:val="20"/>
              </w:rPr>
              <w:t>Veće društvene usluge i aktivnosti, kao što su IT časovi, umetnički festivali, psihosocijalna podrška i savetovanje.</w:t>
            </w:r>
          </w:p>
          <w:p w14:paraId="2F92094B" w14:textId="77777777" w:rsidR="005A7420" w:rsidRPr="00884A5D" w:rsidRDefault="005A7420" w:rsidP="00E440B5">
            <w:pPr>
              <w:spacing w:line="200" w:lineRule="exact"/>
              <w:jc w:val="both"/>
              <w:rPr>
                <w:rFonts w:cs="Calibri"/>
                <w:i/>
                <w:iCs/>
                <w:sz w:val="20"/>
                <w:szCs w:val="20"/>
              </w:rPr>
            </w:pPr>
            <w:r w:rsidRPr="00884A5D">
              <w:rPr>
                <w:rFonts w:cs="Calibri"/>
                <w:i/>
                <w:iCs/>
                <w:sz w:val="20"/>
                <w:szCs w:val="20"/>
              </w:rPr>
              <w:t>Kupovine veće opreme za omladinske prostore u zajednici, kao što su kompjuteri, 3D štampači i kuhinjski aparati.</w:t>
            </w:r>
          </w:p>
          <w:p w14:paraId="107B4828" w14:textId="77777777" w:rsidR="005A7420" w:rsidRPr="00586DCF" w:rsidRDefault="005A7420" w:rsidP="00E440B5">
            <w:pPr>
              <w:spacing w:line="200" w:lineRule="exact"/>
              <w:jc w:val="both"/>
              <w:rPr>
                <w:rFonts w:cs="Calibri"/>
                <w:sz w:val="20"/>
                <w:szCs w:val="20"/>
              </w:rPr>
            </w:pPr>
            <w:r w:rsidRPr="00884A5D">
              <w:rPr>
                <w:rFonts w:cs="Calibri"/>
                <w:i/>
                <w:iCs/>
                <w:sz w:val="20"/>
                <w:szCs w:val="20"/>
              </w:rPr>
              <w:t>Kapitalne investicije orijentisane na mlade, kao što je postavljanje javne wifi tačke, sanacija košarkaškog terena i renoviranje omladinskog centra</w:t>
            </w:r>
            <w:r w:rsidRPr="00586DCF">
              <w:rPr>
                <w:rFonts w:cstheme="minorHAnsi"/>
                <w:sz w:val="20"/>
                <w:szCs w:val="20"/>
              </w:rPr>
              <w:t xml:space="preserve">. </w:t>
            </w:r>
          </w:p>
        </w:tc>
      </w:tr>
      <w:tr w:rsidR="005A7420" w:rsidRPr="00586DCF" w14:paraId="29E2D843" w14:textId="77777777" w:rsidTr="00E440B5">
        <w:tc>
          <w:tcPr>
            <w:tcW w:w="1528" w:type="dxa"/>
          </w:tcPr>
          <w:p w14:paraId="66EC113B" w14:textId="77777777" w:rsidR="005A7420" w:rsidRPr="00586DCF" w:rsidRDefault="005A7420" w:rsidP="00E440B5">
            <w:pPr>
              <w:rPr>
                <w:rFonts w:cs="Calibri"/>
                <w:sz w:val="20"/>
                <w:szCs w:val="20"/>
              </w:rPr>
            </w:pPr>
            <w:r>
              <w:rPr>
                <w:rFonts w:cs="Calibri"/>
                <w:sz w:val="20"/>
                <w:szCs w:val="20"/>
              </w:rPr>
              <w:t>Pristup sprovođenja</w:t>
            </w:r>
          </w:p>
        </w:tc>
        <w:tc>
          <w:tcPr>
            <w:tcW w:w="3792" w:type="dxa"/>
          </w:tcPr>
          <w:p w14:paraId="095DE219" w14:textId="77777777" w:rsidR="005A7420" w:rsidRPr="00586DCF" w:rsidRDefault="005A7420" w:rsidP="00E440B5">
            <w:pPr>
              <w:rPr>
                <w:rFonts w:cs="Calibri"/>
                <w:i/>
                <w:iCs/>
                <w:sz w:val="20"/>
                <w:szCs w:val="20"/>
              </w:rPr>
            </w:pPr>
            <w:r w:rsidRPr="00884A5D">
              <w:rPr>
                <w:rFonts w:cs="Calibri"/>
                <w:i/>
                <w:iCs/>
                <w:sz w:val="20"/>
                <w:szCs w:val="20"/>
              </w:rPr>
              <w:t xml:space="preserve">Učenje usluga: </w:t>
            </w:r>
            <w:r w:rsidRPr="00884A5D">
              <w:rPr>
                <w:rFonts w:cs="Calibri"/>
                <w:iCs/>
                <w:sz w:val="20"/>
                <w:szCs w:val="20"/>
              </w:rPr>
              <w:t>Smatra se da tinejdžeri identifikuju društvena rešenja za potrebe zajednice i uče progresivno doživljavajući društvene uticaje svojih akcija</w:t>
            </w:r>
            <w:r w:rsidRPr="00884A5D">
              <w:rPr>
                <w:rFonts w:cs="Calibri"/>
                <w:i/>
                <w:iCs/>
                <w:sz w:val="20"/>
                <w:szCs w:val="20"/>
              </w:rPr>
              <w:t xml:space="preserve"> </w:t>
            </w:r>
            <w:r w:rsidRPr="00586DCF">
              <w:rPr>
                <w:rFonts w:cs="Calibri"/>
                <w:sz w:val="20"/>
                <w:szCs w:val="20"/>
              </w:rPr>
              <w:t xml:space="preserve">.  </w:t>
            </w:r>
          </w:p>
        </w:tc>
        <w:tc>
          <w:tcPr>
            <w:tcW w:w="4220" w:type="dxa"/>
          </w:tcPr>
          <w:p w14:paraId="71B78E81" w14:textId="77777777" w:rsidR="005A7420" w:rsidRPr="00586DCF" w:rsidRDefault="005A7420" w:rsidP="00E440B5">
            <w:pPr>
              <w:spacing w:line="200" w:lineRule="exact"/>
              <w:jc w:val="both"/>
              <w:rPr>
                <w:rFonts w:cs="Calibri"/>
                <w:sz w:val="20"/>
                <w:szCs w:val="20"/>
              </w:rPr>
            </w:pPr>
            <w:r>
              <w:rPr>
                <w:rFonts w:cs="Calibri"/>
                <w:i/>
                <w:iCs/>
                <w:sz w:val="20"/>
                <w:szCs w:val="20"/>
              </w:rPr>
              <w:t>Preduzetnički pristup</w:t>
            </w:r>
            <w:r w:rsidRPr="00586DCF">
              <w:rPr>
                <w:rFonts w:cs="Calibri"/>
                <w:i/>
                <w:iCs/>
                <w:sz w:val="20"/>
                <w:szCs w:val="20"/>
              </w:rPr>
              <w:t xml:space="preserve">. </w:t>
            </w:r>
            <w:r>
              <w:t xml:space="preserve"> </w:t>
            </w:r>
            <w:r w:rsidRPr="00884A5D">
              <w:rPr>
                <w:rFonts w:cs="Calibri"/>
                <w:sz w:val="20"/>
                <w:szCs w:val="20"/>
              </w:rPr>
              <w:t>Mladi odrasli se ohrabruju da razviju poduzetničke veštine i ponašanja koja se mogu prodati zaposlenima dok uče da dizajniraju i testiraju uticaje društvenih inicijativa</w:t>
            </w:r>
          </w:p>
        </w:tc>
      </w:tr>
    </w:tbl>
    <w:p w14:paraId="7E8F3D4E" w14:textId="77777777" w:rsidR="005A7420" w:rsidRPr="00586DCF" w:rsidRDefault="005A7420" w:rsidP="005A7420">
      <w:pPr>
        <w:autoSpaceDE w:val="0"/>
        <w:autoSpaceDN w:val="0"/>
        <w:adjustRightInd w:val="0"/>
        <w:jc w:val="both"/>
        <w:rPr>
          <w:rFonts w:cstheme="minorHAnsi"/>
          <w:sz w:val="20"/>
          <w:szCs w:val="20"/>
        </w:rPr>
      </w:pPr>
    </w:p>
    <w:p w14:paraId="582FD7AA" w14:textId="77777777" w:rsidR="005A7420" w:rsidRPr="00586DCF" w:rsidRDefault="005A7420" w:rsidP="005A7420">
      <w:pPr>
        <w:autoSpaceDE w:val="0"/>
        <w:autoSpaceDN w:val="0"/>
        <w:adjustRightInd w:val="0"/>
        <w:jc w:val="both"/>
        <w:rPr>
          <w:rFonts w:cstheme="minorHAnsi"/>
          <w:sz w:val="20"/>
          <w:szCs w:val="20"/>
        </w:rPr>
      </w:pPr>
    </w:p>
    <w:p w14:paraId="3E717830" w14:textId="77777777" w:rsidR="005A7420" w:rsidRPr="00586DCF" w:rsidRDefault="005A7420" w:rsidP="005A7420">
      <w:pPr>
        <w:autoSpaceDE w:val="0"/>
        <w:autoSpaceDN w:val="0"/>
        <w:adjustRightInd w:val="0"/>
        <w:jc w:val="both"/>
        <w:rPr>
          <w:rFonts w:cstheme="minorHAnsi"/>
          <w:sz w:val="20"/>
          <w:szCs w:val="20"/>
        </w:rPr>
      </w:pPr>
    </w:p>
    <w:p w14:paraId="221CA4B4" w14:textId="2D0943E9" w:rsidR="005A7420" w:rsidRPr="00586DCF" w:rsidRDefault="005A7420" w:rsidP="001C59B7">
      <w:pPr>
        <w:pStyle w:val="Heading1"/>
      </w:pPr>
      <w:bookmarkStart w:id="1" w:name="_Toc101439436"/>
      <w:r w:rsidRPr="007C6D28">
        <w:t>PODGRANTOVI ZAJEDNICE ZA TINEJDŽERE</w:t>
      </w:r>
      <w:bookmarkEnd w:id="1"/>
      <w:r w:rsidRPr="007C6D28">
        <w:t xml:space="preserve"> </w:t>
      </w:r>
    </w:p>
    <w:p w14:paraId="3FE74A02" w14:textId="77777777" w:rsidR="005A7420" w:rsidRPr="00586DCF" w:rsidRDefault="005A7420" w:rsidP="005A7420">
      <w:pPr>
        <w:spacing w:line="200" w:lineRule="exact"/>
        <w:jc w:val="both"/>
        <w:rPr>
          <w:rFonts w:cstheme="minorHAnsi"/>
          <w:b/>
          <w:i/>
          <w:iCs/>
          <w:sz w:val="20"/>
          <w:szCs w:val="20"/>
        </w:rPr>
      </w:pPr>
      <w:r>
        <w:rPr>
          <w:rFonts w:cstheme="minorHAnsi"/>
          <w:b/>
          <w:i/>
          <w:iCs/>
          <w:sz w:val="20"/>
          <w:szCs w:val="20"/>
        </w:rPr>
        <w:t>Karakteristike podgranta</w:t>
      </w:r>
      <w:r w:rsidRPr="00586DCF">
        <w:rPr>
          <w:rFonts w:cstheme="minorHAnsi"/>
          <w:b/>
          <w:i/>
          <w:iCs/>
          <w:sz w:val="20"/>
          <w:szCs w:val="20"/>
        </w:rPr>
        <w:t xml:space="preserve"> </w:t>
      </w:r>
    </w:p>
    <w:p w14:paraId="270F068B" w14:textId="77777777" w:rsidR="005A7420" w:rsidRPr="001C59B7" w:rsidRDefault="005A7420" w:rsidP="001C59B7">
      <w:pPr>
        <w:pStyle w:val="Heading2"/>
      </w:pPr>
      <w:bookmarkStart w:id="2" w:name="_Toc101439437"/>
      <w:r w:rsidRPr="001C59B7">
        <w:t>KO SE MOŽE PRIJAVITI?</w:t>
      </w:r>
      <w:bookmarkEnd w:id="2"/>
    </w:p>
    <w:p w14:paraId="067AD7D8" w14:textId="77777777" w:rsidR="005A7420" w:rsidRPr="00586DCF" w:rsidRDefault="005A7420" w:rsidP="005A7420">
      <w:pPr>
        <w:pStyle w:val="Normal11"/>
        <w:spacing w:after="0" w:line="240" w:lineRule="auto"/>
        <w:contextualSpacing/>
        <w:jc w:val="both"/>
        <w:rPr>
          <w:rFonts w:cstheme="minorHAnsi"/>
          <w:b/>
          <w:bCs/>
          <w:sz w:val="20"/>
          <w:szCs w:val="20"/>
        </w:rPr>
      </w:pPr>
    </w:p>
    <w:p w14:paraId="31B728AD" w14:textId="77777777" w:rsidR="005A7420" w:rsidRPr="00586DCF" w:rsidRDefault="005A7420" w:rsidP="005A7420">
      <w:pPr>
        <w:pStyle w:val="Normal11"/>
        <w:spacing w:after="0" w:line="240" w:lineRule="auto"/>
        <w:contextualSpacing/>
        <w:jc w:val="both"/>
        <w:rPr>
          <w:rFonts w:cs="Calibri"/>
          <w:sz w:val="20"/>
          <w:szCs w:val="20"/>
        </w:rPr>
      </w:pPr>
      <w:r w:rsidRPr="007C6D28">
        <w:rPr>
          <w:rFonts w:cstheme="minorHAnsi"/>
          <w:i/>
          <w:iCs/>
          <w:sz w:val="20"/>
          <w:szCs w:val="20"/>
        </w:rPr>
        <w:t>Neformalne grupe mladih (15-18 godina</w:t>
      </w:r>
      <w:r w:rsidRPr="00586DCF">
        <w:rPr>
          <w:rFonts w:cstheme="minorHAnsi"/>
          <w:i/>
          <w:iCs/>
          <w:sz w:val="20"/>
          <w:szCs w:val="20"/>
        </w:rPr>
        <w:t xml:space="preserve">): </w:t>
      </w:r>
      <w:r w:rsidRPr="007C6D28">
        <w:rPr>
          <w:rFonts w:cstheme="minorHAnsi"/>
          <w:sz w:val="20"/>
          <w:szCs w:val="20"/>
        </w:rPr>
        <w:t>U sklopu obuke o mekim veštinama</w:t>
      </w:r>
      <w:r w:rsidRPr="00586DCF">
        <w:rPr>
          <w:rStyle w:val="FootnoteReference"/>
          <w:rFonts w:cstheme="minorHAnsi"/>
          <w:sz w:val="20"/>
          <w:szCs w:val="20"/>
        </w:rPr>
        <w:footnoteReference w:id="1"/>
      </w:r>
      <w:r w:rsidRPr="00586DCF">
        <w:rPr>
          <w:rFonts w:cstheme="minorHAnsi"/>
          <w:sz w:val="20"/>
          <w:szCs w:val="20"/>
        </w:rPr>
        <w:t xml:space="preserve">, </w:t>
      </w:r>
      <w:r w:rsidRPr="007C6D28">
        <w:rPr>
          <w:rFonts w:cstheme="minorHAnsi"/>
          <w:sz w:val="20"/>
          <w:szCs w:val="20"/>
        </w:rPr>
        <w:t>mladim korisnicima će biti omogućeno formiranje potprojektnih grupa pre objavljivanja ovog poziva. Grupe će se sastojati od tinejdžera organizovanih oko zajedničkih interesa, ličnih preferencija i željenih društvenih uticaja. Neformalne grupe koordiniraju omladinski lideri koje bira grupa. Uslovi starosti kandidata za podgrante zajednice za tinejdžere su obavezni. Predloge za podgrantove mora podneti samo grupa pojedinaca od 15-18 godina</w:t>
      </w:r>
      <w:r w:rsidRPr="00586DCF">
        <w:rPr>
          <w:rFonts w:cs="Calibri"/>
          <w:sz w:val="20"/>
          <w:szCs w:val="20"/>
        </w:rPr>
        <w:t>.</w:t>
      </w:r>
    </w:p>
    <w:p w14:paraId="5AA038F5" w14:textId="77777777" w:rsidR="005A7420" w:rsidRPr="00586DCF" w:rsidRDefault="005A7420" w:rsidP="005A7420">
      <w:pPr>
        <w:spacing w:line="200" w:lineRule="exact"/>
        <w:jc w:val="both"/>
        <w:rPr>
          <w:rFonts w:cs="Calibri"/>
          <w:b/>
          <w:sz w:val="20"/>
          <w:szCs w:val="20"/>
        </w:rPr>
      </w:pPr>
    </w:p>
    <w:p w14:paraId="4FB5ED1D" w14:textId="77777777" w:rsidR="005A7420" w:rsidRPr="001C59B7" w:rsidRDefault="005A7420" w:rsidP="001C59B7">
      <w:pPr>
        <w:pStyle w:val="Heading2"/>
      </w:pPr>
      <w:bookmarkStart w:id="3" w:name="_Toc101439438"/>
      <w:r w:rsidRPr="001C59B7">
        <w:t>PRIHVATLJIVOST PODGRANTA I KRITERIJUMI ZA IZBOR</w:t>
      </w:r>
      <w:bookmarkEnd w:id="3"/>
    </w:p>
    <w:p w14:paraId="115650C6" w14:textId="77777777" w:rsidR="005A7420" w:rsidRPr="00586DCF" w:rsidRDefault="005A7420" w:rsidP="005A7420">
      <w:pPr>
        <w:pStyle w:val="Normal11"/>
        <w:spacing w:after="0" w:line="240" w:lineRule="auto"/>
        <w:contextualSpacing/>
        <w:jc w:val="both"/>
        <w:rPr>
          <w:rFonts w:cstheme="minorHAnsi"/>
          <w:bCs/>
          <w:sz w:val="20"/>
          <w:szCs w:val="20"/>
        </w:rPr>
      </w:pPr>
    </w:p>
    <w:p w14:paraId="48A96360" w14:textId="5CB57B14" w:rsidR="005A7420" w:rsidRDefault="005A7420" w:rsidP="001E426C">
      <w:pPr>
        <w:pStyle w:val="Normal11"/>
        <w:rPr>
          <w:b/>
          <w:iCs/>
        </w:rPr>
      </w:pPr>
      <w:r w:rsidRPr="007C6D28">
        <w:t xml:space="preserve">Predlozi za podgrantove zajednice moraju ispunjavati tri skupa kriterijuma </w:t>
      </w:r>
      <w:r>
        <w:t>prihvatljivosti</w:t>
      </w:r>
      <w:r w:rsidRPr="007C6D28">
        <w:t xml:space="preserve"> navedenih u nastavku.</w:t>
      </w:r>
    </w:p>
    <w:p w14:paraId="25564314" w14:textId="77777777" w:rsidR="005A7420" w:rsidRPr="00586DCF" w:rsidRDefault="005A7420" w:rsidP="001E426C">
      <w:pPr>
        <w:pStyle w:val="Normal11"/>
      </w:pPr>
      <w:r w:rsidRPr="007C6D28">
        <w:t>Preduslovi za podnosioce zahteva za podgrantove</w:t>
      </w:r>
    </w:p>
    <w:p w14:paraId="79580AA3" w14:textId="77777777" w:rsidR="005A7420" w:rsidRPr="00586DCF" w:rsidRDefault="005A7420" w:rsidP="005A7420">
      <w:pPr>
        <w:rPr>
          <w:rFonts w:cstheme="minorHAnsi"/>
          <w:bCs/>
          <w:sz w:val="20"/>
          <w:szCs w:val="20"/>
        </w:rPr>
      </w:pPr>
      <w:r w:rsidRPr="007C6D28">
        <w:rPr>
          <w:rFonts w:cstheme="minorHAnsi"/>
          <w:bCs/>
          <w:i/>
          <w:iCs/>
          <w:sz w:val="20"/>
          <w:szCs w:val="20"/>
        </w:rPr>
        <w:t>Neformalne grupe mladih</w:t>
      </w:r>
      <w:r w:rsidRPr="00586DCF">
        <w:rPr>
          <w:rFonts w:cstheme="minorHAnsi"/>
          <w:bCs/>
          <w:sz w:val="20"/>
          <w:szCs w:val="20"/>
        </w:rPr>
        <w:t>:</w:t>
      </w:r>
    </w:p>
    <w:p w14:paraId="419D0E25" w14:textId="77777777" w:rsidR="005A7420" w:rsidRPr="007C6D28" w:rsidRDefault="005A7420" w:rsidP="005A7420">
      <w:pPr>
        <w:pStyle w:val="ListParagraph"/>
        <w:widowControl w:val="0"/>
        <w:numPr>
          <w:ilvl w:val="0"/>
          <w:numId w:val="12"/>
        </w:numPr>
        <w:autoSpaceDE w:val="0"/>
        <w:autoSpaceDN w:val="0"/>
        <w:adjustRightInd w:val="0"/>
        <w:spacing w:line="240" w:lineRule="auto"/>
        <w:rPr>
          <w:rFonts w:asciiTheme="minorHAnsi" w:eastAsiaTheme="minorHAnsi" w:hAnsiTheme="minorHAnsi" w:cstheme="minorHAnsi"/>
          <w:bCs/>
          <w:sz w:val="20"/>
          <w:szCs w:val="20"/>
        </w:rPr>
      </w:pPr>
      <w:r w:rsidRPr="007C6D28">
        <w:rPr>
          <w:rFonts w:asciiTheme="minorHAnsi" w:eastAsiaTheme="minorHAnsi" w:hAnsiTheme="minorHAnsi" w:cstheme="minorHAnsi"/>
          <w:bCs/>
          <w:sz w:val="20"/>
          <w:szCs w:val="20"/>
        </w:rPr>
        <w:t>Podnosioci prijave moraju biti u starosnoj grupi od 15 do 18 godina da bi se prijavili za potgranate zajednice za tinejdžere.</w:t>
      </w:r>
    </w:p>
    <w:p w14:paraId="41346FE4" w14:textId="77777777" w:rsidR="005A7420" w:rsidRPr="007C6D28" w:rsidRDefault="005A7420" w:rsidP="005A7420">
      <w:pPr>
        <w:pStyle w:val="ListParagraph"/>
        <w:widowControl w:val="0"/>
        <w:numPr>
          <w:ilvl w:val="0"/>
          <w:numId w:val="12"/>
        </w:numPr>
        <w:autoSpaceDE w:val="0"/>
        <w:autoSpaceDN w:val="0"/>
        <w:adjustRightInd w:val="0"/>
        <w:spacing w:line="240" w:lineRule="auto"/>
        <w:rPr>
          <w:rFonts w:asciiTheme="minorHAnsi" w:eastAsiaTheme="minorHAnsi" w:hAnsiTheme="minorHAnsi" w:cstheme="minorHAnsi"/>
          <w:bCs/>
          <w:sz w:val="20"/>
          <w:szCs w:val="20"/>
        </w:rPr>
      </w:pPr>
      <w:r w:rsidRPr="007C6D28">
        <w:rPr>
          <w:rFonts w:asciiTheme="minorHAnsi" w:eastAsiaTheme="minorHAnsi" w:hAnsiTheme="minorHAnsi" w:cstheme="minorHAnsi"/>
          <w:bCs/>
          <w:sz w:val="20"/>
          <w:szCs w:val="20"/>
        </w:rPr>
        <w:t>Podnosioci prijava imaju prebivalište/sedište u jednoj od opština koje učestvuju u projektu.</w:t>
      </w:r>
    </w:p>
    <w:p w14:paraId="13B55E7D" w14:textId="77777777" w:rsidR="005A7420" w:rsidRPr="007C6D28" w:rsidRDefault="005A7420" w:rsidP="005A7420">
      <w:pPr>
        <w:pStyle w:val="ListParagraph"/>
        <w:widowControl w:val="0"/>
        <w:numPr>
          <w:ilvl w:val="0"/>
          <w:numId w:val="12"/>
        </w:numPr>
        <w:autoSpaceDE w:val="0"/>
        <w:autoSpaceDN w:val="0"/>
        <w:adjustRightInd w:val="0"/>
        <w:spacing w:line="240" w:lineRule="auto"/>
        <w:rPr>
          <w:rFonts w:asciiTheme="minorHAnsi" w:eastAsiaTheme="minorHAnsi" w:hAnsiTheme="minorHAnsi" w:cstheme="minorHAnsi"/>
          <w:bCs/>
          <w:sz w:val="20"/>
          <w:szCs w:val="20"/>
        </w:rPr>
      </w:pPr>
      <w:r w:rsidRPr="007C6D28">
        <w:rPr>
          <w:rFonts w:asciiTheme="minorHAnsi" w:eastAsiaTheme="minorHAnsi" w:hAnsiTheme="minorHAnsi" w:cstheme="minorHAnsi"/>
          <w:bCs/>
          <w:sz w:val="20"/>
          <w:szCs w:val="20"/>
        </w:rPr>
        <w:t>Prednost će imati podnosioci prijava koji su uspešno završili obuku za meke veštine i upravljanje projektima u okviru komponente 2 projekta. Uspešan završetak obuke definiše se kao pohađanje najmanje 80% svih aktivnosti koje evidentira FP-NVO.</w:t>
      </w:r>
    </w:p>
    <w:p w14:paraId="2FF6A107" w14:textId="77777777" w:rsidR="005A7420" w:rsidRPr="00586DCF" w:rsidRDefault="005A7420" w:rsidP="005A7420">
      <w:pPr>
        <w:pStyle w:val="ListParagraph"/>
        <w:widowControl w:val="0"/>
        <w:numPr>
          <w:ilvl w:val="0"/>
          <w:numId w:val="12"/>
        </w:numPr>
        <w:autoSpaceDE w:val="0"/>
        <w:autoSpaceDN w:val="0"/>
        <w:adjustRightInd w:val="0"/>
        <w:spacing w:line="240" w:lineRule="auto"/>
        <w:jc w:val="left"/>
        <w:rPr>
          <w:rFonts w:asciiTheme="minorHAnsi" w:eastAsiaTheme="minorHAnsi" w:hAnsiTheme="minorHAnsi" w:cstheme="minorHAnsi"/>
          <w:bCs/>
          <w:sz w:val="20"/>
          <w:szCs w:val="20"/>
        </w:rPr>
      </w:pPr>
      <w:r w:rsidRPr="007C6D28">
        <w:rPr>
          <w:rFonts w:asciiTheme="minorHAnsi" w:eastAsiaTheme="minorHAnsi" w:hAnsiTheme="minorHAnsi" w:cstheme="minorHAnsi"/>
          <w:bCs/>
          <w:sz w:val="20"/>
          <w:szCs w:val="20"/>
        </w:rPr>
        <w:t>Mladi koji nisu završili obuku za upravljanje projektima M4Y moraju pružiti dokaze o veštinama upravljanja projektima stečenim na drugom mestu</w:t>
      </w:r>
      <w:r w:rsidRPr="00586DCF">
        <w:rPr>
          <w:rFonts w:asciiTheme="minorHAnsi" w:eastAsiaTheme="minorHAnsi" w:hAnsiTheme="minorHAnsi" w:cstheme="minorHAnsi"/>
          <w:bCs/>
          <w:sz w:val="20"/>
          <w:szCs w:val="20"/>
        </w:rPr>
        <w:t xml:space="preserve">. </w:t>
      </w:r>
    </w:p>
    <w:p w14:paraId="238C4530" w14:textId="77777777" w:rsidR="005A7420" w:rsidRPr="00586DCF" w:rsidRDefault="005A7420" w:rsidP="005A7420">
      <w:pPr>
        <w:widowControl w:val="0"/>
        <w:autoSpaceDE w:val="0"/>
        <w:autoSpaceDN w:val="0"/>
        <w:adjustRightInd w:val="0"/>
        <w:spacing w:line="240" w:lineRule="auto"/>
        <w:rPr>
          <w:rFonts w:cstheme="minorHAnsi"/>
          <w:bCs/>
          <w:sz w:val="20"/>
          <w:szCs w:val="20"/>
        </w:rPr>
      </w:pPr>
    </w:p>
    <w:p w14:paraId="57470C64" w14:textId="77777777" w:rsidR="005A7420" w:rsidRPr="00586DCF" w:rsidRDefault="005A7420" w:rsidP="001C59B7">
      <w:pPr>
        <w:pStyle w:val="Heading2"/>
      </w:pPr>
      <w:bookmarkStart w:id="4" w:name="_Toc101439439"/>
      <w:r>
        <w:t>PRIHVATLJIVOST AKTIVNOSTI PODGRANTA</w:t>
      </w:r>
      <w:bookmarkEnd w:id="4"/>
    </w:p>
    <w:p w14:paraId="5BB33CE1" w14:textId="77777777" w:rsidR="005A7420" w:rsidRPr="00586DCF" w:rsidRDefault="005A7420" w:rsidP="005A7420">
      <w:pPr>
        <w:pStyle w:val="Normal11"/>
        <w:spacing w:after="0" w:line="240" w:lineRule="auto"/>
        <w:contextualSpacing/>
        <w:jc w:val="both"/>
        <w:rPr>
          <w:rFonts w:cs="Calibri"/>
          <w:bCs/>
          <w:sz w:val="20"/>
          <w:szCs w:val="20"/>
        </w:rPr>
      </w:pPr>
    </w:p>
    <w:p w14:paraId="06337ACE" w14:textId="77777777" w:rsidR="005A7420" w:rsidRPr="00586DCF" w:rsidRDefault="005A7420" w:rsidP="005A7420">
      <w:pPr>
        <w:jc w:val="both"/>
        <w:rPr>
          <w:rFonts w:cs="Calibri"/>
          <w:sz w:val="20"/>
          <w:szCs w:val="20"/>
        </w:rPr>
      </w:pPr>
      <w:r w:rsidRPr="007C6D28">
        <w:rPr>
          <w:rFonts w:cs="Calibri"/>
          <w:sz w:val="20"/>
          <w:szCs w:val="20"/>
        </w:rPr>
        <w:t xml:space="preserve">Odabrani podgrantovi će se baviti nizom socioekonomskih potreba i prioriteta mladih žena i muškaraca. Ove inicijative vođene mladima ne mogu se odrediti a priori jer su vođene potražnjom i odgovoriće na nezadovoljene potrebe marginaliziranih mladih na nivou zajednice. I profitne i neprofitne aktivnosti su kvalifikovane za finansiranje. Aktivnosti kvalifikovanih podgrantova će biti identifikovane na osnovu sledećih kriterijuma </w:t>
      </w:r>
      <w:r>
        <w:rPr>
          <w:rFonts w:cs="Calibri"/>
          <w:sz w:val="20"/>
          <w:szCs w:val="20"/>
        </w:rPr>
        <w:t>prihvatljivosti</w:t>
      </w:r>
      <w:r w:rsidRPr="00586DCF">
        <w:rPr>
          <w:rFonts w:cs="Calibri"/>
          <w:sz w:val="20"/>
          <w:szCs w:val="20"/>
        </w:rPr>
        <w:t xml:space="preserve">: </w:t>
      </w:r>
    </w:p>
    <w:p w14:paraId="7FFAD5FF" w14:textId="77777777" w:rsidR="005A7420" w:rsidRPr="00586DCF" w:rsidRDefault="005A7420" w:rsidP="005A7420">
      <w:pPr>
        <w:spacing w:line="280" w:lineRule="exact"/>
        <w:ind w:right="105"/>
        <w:jc w:val="both"/>
        <w:rPr>
          <w:rFonts w:cs="Calibri"/>
          <w:sz w:val="20"/>
          <w:szCs w:val="20"/>
        </w:rPr>
      </w:pPr>
      <w:bookmarkStart w:id="5" w:name="_Hlk525069238"/>
      <w:r w:rsidRPr="007C6D28">
        <w:rPr>
          <w:rFonts w:eastAsia="Cambria"/>
          <w:spacing w:val="-1"/>
          <w:sz w:val="20"/>
          <w:szCs w:val="20"/>
        </w:rPr>
        <w:t>Neformalne grupe mladih u skladu sa ovim javnim pozivom mogu se prijaviti sa svojim potprojektima rešavanjem niza socioekonomskih potreba i prioriteta mladih žena i muškaraca fokusiranih na sledeće oblasti</w:t>
      </w:r>
      <w:r w:rsidRPr="00586DCF">
        <w:rPr>
          <w:sz w:val="20"/>
          <w:szCs w:val="20"/>
        </w:rPr>
        <w:t xml:space="preserve">: </w:t>
      </w:r>
      <w:bookmarkEnd w:id="5"/>
    </w:p>
    <w:p w14:paraId="54F09B6F" w14:textId="77777777" w:rsidR="005A7420" w:rsidRPr="00586DCF" w:rsidRDefault="005A7420" w:rsidP="005A7420">
      <w:pPr>
        <w:pStyle w:val="NoSpacing"/>
        <w:numPr>
          <w:ilvl w:val="0"/>
          <w:numId w:val="16"/>
        </w:numPr>
        <w:rPr>
          <w:rFonts w:asciiTheme="minorHAnsi" w:hAnsiTheme="minorHAnsi"/>
          <w:sz w:val="20"/>
          <w:szCs w:val="20"/>
        </w:rPr>
      </w:pPr>
      <w:r w:rsidRPr="007C6D28">
        <w:rPr>
          <w:rFonts w:asciiTheme="minorHAnsi" w:hAnsiTheme="minorHAnsi"/>
          <w:sz w:val="20"/>
          <w:szCs w:val="20"/>
        </w:rPr>
        <w:t>Ekonomske usluge namenjene poboljšanju mogućnosti zapošljavanja i sticanja prihoda mladih (npr. obuka za izgradnju veština, pristup prostorima za stvaranje</w:t>
      </w:r>
      <w:r w:rsidRPr="007C6D28">
        <w:rPr>
          <w:rStyle w:val="FootnoteReference"/>
          <w:rFonts w:asciiTheme="minorHAnsi" w:hAnsiTheme="minorHAnsi"/>
          <w:sz w:val="20"/>
          <w:szCs w:val="20"/>
          <w:vertAlign w:val="baseline"/>
        </w:rPr>
        <w:t xml:space="preserve"> </w:t>
      </w:r>
      <w:r w:rsidRPr="00586DCF">
        <w:rPr>
          <w:rStyle w:val="FootnoteReference"/>
          <w:rFonts w:asciiTheme="minorHAnsi" w:hAnsiTheme="minorHAnsi"/>
          <w:sz w:val="20"/>
          <w:szCs w:val="20"/>
        </w:rPr>
        <w:footnoteReference w:id="2"/>
      </w:r>
      <w:r w:rsidRPr="00586DCF">
        <w:rPr>
          <w:rFonts w:asciiTheme="minorHAnsi" w:hAnsiTheme="minorHAnsi"/>
          <w:sz w:val="20"/>
          <w:szCs w:val="20"/>
        </w:rPr>
        <w:t xml:space="preserve">, </w:t>
      </w:r>
      <w:r w:rsidRPr="007C6D28">
        <w:rPr>
          <w:rFonts w:asciiTheme="minorHAnsi" w:hAnsiTheme="minorHAnsi"/>
          <w:sz w:val="20"/>
          <w:szCs w:val="20"/>
        </w:rPr>
        <w:t>obuka o preduzetništvu, IKT kursevi itd.</w:t>
      </w:r>
      <w:r>
        <w:rPr>
          <w:rFonts w:asciiTheme="minorHAnsi" w:hAnsiTheme="minorHAnsi"/>
          <w:sz w:val="20"/>
          <w:szCs w:val="20"/>
        </w:rPr>
        <w:t>)</w:t>
      </w:r>
    </w:p>
    <w:p w14:paraId="2D87DEA5" w14:textId="77777777" w:rsidR="005A7420" w:rsidRPr="00586DCF" w:rsidRDefault="005A7420" w:rsidP="005A7420">
      <w:pPr>
        <w:pStyle w:val="NoSpacing"/>
        <w:numPr>
          <w:ilvl w:val="0"/>
          <w:numId w:val="16"/>
        </w:numPr>
        <w:rPr>
          <w:rFonts w:asciiTheme="minorHAnsi" w:hAnsiTheme="minorHAnsi"/>
          <w:sz w:val="20"/>
          <w:szCs w:val="20"/>
        </w:rPr>
      </w:pPr>
      <w:r w:rsidRPr="007C6D28">
        <w:rPr>
          <w:rFonts w:asciiTheme="minorHAnsi" w:hAnsiTheme="minorHAnsi"/>
          <w:sz w:val="20"/>
          <w:szCs w:val="20"/>
        </w:rPr>
        <w:lastRenderedPageBreak/>
        <w:t>Kulturne i sportske aktivnosti mladih (npr. događaji, kampanje, kupovina opreme i popravka i unapređenje postojećih objekata</w:t>
      </w:r>
      <w:r w:rsidRPr="00586DCF">
        <w:rPr>
          <w:rFonts w:asciiTheme="minorHAnsi" w:hAnsiTheme="minorHAnsi"/>
          <w:sz w:val="20"/>
          <w:szCs w:val="20"/>
        </w:rPr>
        <w:t xml:space="preserve">) </w:t>
      </w:r>
    </w:p>
    <w:p w14:paraId="50753A4E" w14:textId="77777777" w:rsidR="005A7420" w:rsidRPr="007C6D28" w:rsidRDefault="005A7420" w:rsidP="005A7420">
      <w:pPr>
        <w:pStyle w:val="NoSpacing"/>
        <w:numPr>
          <w:ilvl w:val="0"/>
          <w:numId w:val="16"/>
        </w:numPr>
        <w:rPr>
          <w:rFonts w:asciiTheme="minorHAnsi" w:hAnsiTheme="minorHAnsi"/>
          <w:sz w:val="20"/>
          <w:szCs w:val="20"/>
        </w:rPr>
      </w:pPr>
      <w:r w:rsidRPr="007C6D28">
        <w:rPr>
          <w:rFonts w:asciiTheme="minorHAnsi" w:hAnsiTheme="minorHAnsi"/>
          <w:sz w:val="20"/>
          <w:szCs w:val="20"/>
        </w:rPr>
        <w:t>Inicijative za obrazovanje/podizanje svesti zasnovane na pitanjima (npr. droga i alkohol, seks i seksualnost, antirasizam, norba protiv maltretiranja, zaštita životne sredine, itd.</w:t>
      </w:r>
    </w:p>
    <w:p w14:paraId="3C4A9E6C" w14:textId="77777777" w:rsidR="005A7420" w:rsidRPr="007C6D28" w:rsidRDefault="005A7420" w:rsidP="005A7420">
      <w:pPr>
        <w:pStyle w:val="NoSpacing"/>
        <w:numPr>
          <w:ilvl w:val="0"/>
          <w:numId w:val="16"/>
        </w:numPr>
        <w:rPr>
          <w:rFonts w:asciiTheme="minorHAnsi" w:hAnsiTheme="minorHAnsi"/>
          <w:sz w:val="20"/>
          <w:szCs w:val="20"/>
        </w:rPr>
      </w:pPr>
      <w:r w:rsidRPr="007C6D28">
        <w:rPr>
          <w:rFonts w:asciiTheme="minorHAnsi" w:hAnsiTheme="minorHAnsi"/>
          <w:sz w:val="20"/>
          <w:szCs w:val="20"/>
        </w:rPr>
        <w:t>Psihosocijalna podrška i emocionalno savetovanje</w:t>
      </w:r>
    </w:p>
    <w:p w14:paraId="15AC7825" w14:textId="77777777" w:rsidR="005A7420" w:rsidRPr="007C6D28" w:rsidRDefault="005A7420" w:rsidP="005A7420">
      <w:pPr>
        <w:pStyle w:val="NoSpacing"/>
        <w:numPr>
          <w:ilvl w:val="0"/>
          <w:numId w:val="16"/>
        </w:numPr>
        <w:rPr>
          <w:rFonts w:asciiTheme="minorHAnsi" w:hAnsiTheme="minorHAnsi"/>
          <w:sz w:val="20"/>
          <w:szCs w:val="20"/>
        </w:rPr>
      </w:pPr>
      <w:r w:rsidRPr="007C6D28">
        <w:rPr>
          <w:rFonts w:asciiTheme="minorHAnsi" w:hAnsiTheme="minorHAnsi"/>
          <w:sz w:val="20"/>
          <w:szCs w:val="20"/>
        </w:rPr>
        <w:t>Aktivnosti društvenih veština, kao što su drama, muzika, ples, igre za izgradnju tima, umetnost i zanat, umetnost grafita, itd.</w:t>
      </w:r>
    </w:p>
    <w:p w14:paraId="1489CDEE" w14:textId="77777777" w:rsidR="005A7420" w:rsidRPr="00586DCF" w:rsidRDefault="005A7420" w:rsidP="005A7420">
      <w:pPr>
        <w:pStyle w:val="NoSpacing"/>
        <w:numPr>
          <w:ilvl w:val="0"/>
          <w:numId w:val="16"/>
        </w:numPr>
        <w:rPr>
          <w:rFonts w:asciiTheme="minorHAnsi" w:hAnsiTheme="minorHAnsi"/>
          <w:sz w:val="20"/>
          <w:szCs w:val="20"/>
        </w:rPr>
      </w:pPr>
      <w:r w:rsidRPr="007C6D28">
        <w:rPr>
          <w:rFonts w:asciiTheme="minorHAnsi" w:hAnsiTheme="minorHAnsi"/>
          <w:sz w:val="20"/>
          <w:szCs w:val="20"/>
        </w:rPr>
        <w:t>Dodatne omladinske aktivnosti koje se bave lokalnim potrebama i prioritetima mladih</w:t>
      </w:r>
      <w:r w:rsidRPr="00586DCF">
        <w:rPr>
          <w:rFonts w:asciiTheme="minorHAnsi" w:hAnsiTheme="minorHAnsi"/>
          <w:sz w:val="20"/>
          <w:szCs w:val="20"/>
        </w:rPr>
        <w:t>.</w:t>
      </w:r>
    </w:p>
    <w:p w14:paraId="05ADD691" w14:textId="77777777" w:rsidR="005A7420" w:rsidRPr="00586DCF" w:rsidRDefault="005A7420" w:rsidP="005A7420">
      <w:pPr>
        <w:jc w:val="both"/>
        <w:rPr>
          <w:rFonts w:cs="Calibri"/>
          <w:sz w:val="20"/>
          <w:szCs w:val="20"/>
        </w:rPr>
      </w:pPr>
    </w:p>
    <w:p w14:paraId="790D2781" w14:textId="77777777" w:rsidR="005A7420" w:rsidRPr="00586DCF" w:rsidRDefault="005A7420" w:rsidP="005A7420">
      <w:pPr>
        <w:pStyle w:val="NoSpacing"/>
        <w:jc w:val="both"/>
        <w:rPr>
          <w:rFonts w:asciiTheme="minorHAnsi" w:eastAsia="Calibri" w:hAnsiTheme="minorHAnsi"/>
          <w:sz w:val="20"/>
          <w:szCs w:val="20"/>
        </w:rPr>
      </w:pPr>
      <w:r w:rsidRPr="007C6D28">
        <w:rPr>
          <w:rFonts w:asciiTheme="minorHAnsi" w:eastAsia="Calibri" w:hAnsiTheme="minorHAnsi"/>
          <w:sz w:val="20"/>
          <w:szCs w:val="20"/>
        </w:rPr>
        <w:t>S obzirom na uzrast ciljnih korisnika, mali grantovi mogu biti fokusirani na male inicijative koje donose dobrobit zajednicama (npr. igračke za decu s invaliditetom, kampanje podizanja svesti o energetskoj efikasnosti) koje sprovode tinejdžeri (15-18 godina</w:t>
      </w:r>
      <w:r w:rsidRPr="00586DCF">
        <w:rPr>
          <w:rFonts w:asciiTheme="minorHAnsi" w:eastAsia="Calibri" w:hAnsiTheme="minorHAnsi"/>
          <w:sz w:val="20"/>
          <w:szCs w:val="20"/>
        </w:rPr>
        <w:t xml:space="preserve">).  </w:t>
      </w:r>
    </w:p>
    <w:p w14:paraId="08B16DDD" w14:textId="77777777" w:rsidR="005A7420" w:rsidRPr="00586DCF" w:rsidRDefault="005A7420" w:rsidP="005A7420">
      <w:pPr>
        <w:pStyle w:val="NoSpacing"/>
        <w:jc w:val="both"/>
        <w:rPr>
          <w:rFonts w:asciiTheme="minorHAnsi" w:eastAsia="Calibri" w:hAnsiTheme="minorHAnsi"/>
          <w:sz w:val="20"/>
          <w:szCs w:val="20"/>
        </w:rPr>
      </w:pPr>
    </w:p>
    <w:p w14:paraId="19D05D47" w14:textId="77777777" w:rsidR="005A7420" w:rsidRPr="00586DCF" w:rsidRDefault="005A7420" w:rsidP="001C59B7">
      <w:pPr>
        <w:pStyle w:val="Heading3"/>
      </w:pPr>
      <w:bookmarkStart w:id="6" w:name="_Toc101439440"/>
      <w:r>
        <w:t>Prihvatljivi  troškovi</w:t>
      </w:r>
      <w:bookmarkEnd w:id="6"/>
    </w:p>
    <w:p w14:paraId="699723CA" w14:textId="77777777" w:rsidR="005A7420" w:rsidRPr="00586DCF" w:rsidRDefault="005A7420" w:rsidP="005A7420">
      <w:pPr>
        <w:pStyle w:val="NoSpacing"/>
        <w:shd w:val="clear" w:color="auto" w:fill="FFFFFF" w:themeFill="background1"/>
        <w:jc w:val="both"/>
        <w:rPr>
          <w:rFonts w:cstheme="minorHAnsi"/>
          <w:sz w:val="20"/>
          <w:szCs w:val="20"/>
          <w:lang w:bidi="sq-AL"/>
        </w:rPr>
      </w:pPr>
      <w:r w:rsidRPr="00634BCA">
        <w:rPr>
          <w:rFonts w:cstheme="minorHAnsi"/>
          <w:sz w:val="20"/>
          <w:szCs w:val="20"/>
          <w:lang w:bidi="sq-AL"/>
        </w:rPr>
        <w:t>Prihvatljivi troškovi u okviru podgrantova su troškovi direktno povezani sa sprovođenjem predloženih potprojekata. Takvi troškovi</w:t>
      </w:r>
      <w:r w:rsidRPr="00586DCF">
        <w:rPr>
          <w:rFonts w:cstheme="minorHAnsi"/>
          <w:sz w:val="20"/>
          <w:szCs w:val="20"/>
          <w:lang w:bidi="sq-AL"/>
        </w:rPr>
        <w:t xml:space="preserve">: </w:t>
      </w:r>
    </w:p>
    <w:p w14:paraId="6644E2A8" w14:textId="77777777" w:rsidR="005A7420" w:rsidRPr="00634BCA" w:rsidRDefault="005A7420" w:rsidP="005A7420">
      <w:pPr>
        <w:pStyle w:val="BankNormal"/>
        <w:numPr>
          <w:ilvl w:val="0"/>
          <w:numId w:val="23"/>
        </w:numPr>
        <w:snapToGrid w:val="0"/>
        <w:spacing w:after="0"/>
        <w:jc w:val="both"/>
        <w:rPr>
          <w:rFonts w:asciiTheme="minorHAnsi" w:eastAsiaTheme="minorEastAsia" w:hAnsiTheme="minorHAnsi" w:cstheme="minorHAnsi"/>
          <w:sz w:val="20"/>
          <w:lang w:bidi="sq-AL"/>
        </w:rPr>
      </w:pPr>
      <w:r w:rsidRPr="00634BCA">
        <w:rPr>
          <w:rFonts w:asciiTheme="minorHAnsi" w:eastAsiaTheme="minorEastAsia" w:hAnsiTheme="minorHAnsi" w:cstheme="minorHAnsi"/>
          <w:sz w:val="20"/>
          <w:lang w:bidi="sq-AL"/>
        </w:rPr>
        <w:t>Moraju nastati tokom trajanja potprojekta,</w:t>
      </w:r>
    </w:p>
    <w:p w14:paraId="7BB844E8" w14:textId="77777777" w:rsidR="005A7420" w:rsidRPr="00634BCA" w:rsidRDefault="005A7420" w:rsidP="005A7420">
      <w:pPr>
        <w:pStyle w:val="BankNormal"/>
        <w:numPr>
          <w:ilvl w:val="0"/>
          <w:numId w:val="23"/>
        </w:numPr>
        <w:snapToGrid w:val="0"/>
        <w:spacing w:after="0"/>
        <w:jc w:val="both"/>
        <w:rPr>
          <w:rFonts w:asciiTheme="minorHAnsi" w:eastAsiaTheme="minorEastAsia" w:hAnsiTheme="minorHAnsi" w:cstheme="minorHAnsi"/>
          <w:sz w:val="20"/>
          <w:lang w:bidi="sq-AL"/>
        </w:rPr>
      </w:pPr>
      <w:r w:rsidRPr="00634BCA">
        <w:rPr>
          <w:rFonts w:asciiTheme="minorHAnsi" w:eastAsiaTheme="minorEastAsia" w:hAnsiTheme="minorHAnsi" w:cstheme="minorHAnsi"/>
          <w:sz w:val="20"/>
          <w:lang w:bidi="sq-AL"/>
        </w:rPr>
        <w:t>Moraju biti naznačeno i detaljno navedeni u predlogu potprojekta</w:t>
      </w:r>
    </w:p>
    <w:p w14:paraId="67387E7A" w14:textId="77777777" w:rsidR="005A7420" w:rsidRPr="00634BCA" w:rsidRDefault="005A7420" w:rsidP="005A7420">
      <w:pPr>
        <w:pStyle w:val="BankNormal"/>
        <w:numPr>
          <w:ilvl w:val="0"/>
          <w:numId w:val="23"/>
        </w:numPr>
        <w:snapToGrid w:val="0"/>
        <w:spacing w:after="0"/>
        <w:jc w:val="both"/>
        <w:rPr>
          <w:rFonts w:asciiTheme="minorHAnsi" w:eastAsiaTheme="minorEastAsia" w:hAnsiTheme="minorHAnsi" w:cstheme="minorHAnsi"/>
          <w:sz w:val="20"/>
          <w:lang w:bidi="sq-AL"/>
        </w:rPr>
      </w:pPr>
      <w:r w:rsidRPr="00634BCA">
        <w:rPr>
          <w:rFonts w:asciiTheme="minorHAnsi" w:eastAsiaTheme="minorEastAsia" w:hAnsiTheme="minorHAnsi" w:cstheme="minorHAnsi"/>
          <w:sz w:val="20"/>
          <w:lang w:bidi="sq-AL"/>
        </w:rPr>
        <w:t>Moraju biti prepoznatljivi i proverljivi, posebno evidentirani u računovodstvenim evidencijama i utvrđeni prema važećim računovodstvenim standardima,</w:t>
      </w:r>
    </w:p>
    <w:p w14:paraId="7D58F472" w14:textId="77777777" w:rsidR="005A7420" w:rsidRPr="00586DCF" w:rsidRDefault="005A7420" w:rsidP="005A7420">
      <w:pPr>
        <w:pStyle w:val="BankNormal"/>
        <w:numPr>
          <w:ilvl w:val="0"/>
          <w:numId w:val="23"/>
        </w:numPr>
        <w:snapToGrid w:val="0"/>
        <w:spacing w:after="0"/>
        <w:jc w:val="both"/>
        <w:rPr>
          <w:rFonts w:asciiTheme="minorHAnsi" w:eastAsiaTheme="minorEastAsia" w:hAnsiTheme="minorHAnsi" w:cstheme="minorHAnsi"/>
          <w:sz w:val="20"/>
          <w:lang w:bidi="sq-AL"/>
        </w:rPr>
      </w:pPr>
      <w:r w:rsidRPr="00634BCA">
        <w:rPr>
          <w:rFonts w:asciiTheme="minorHAnsi" w:eastAsiaTheme="minorEastAsia" w:hAnsiTheme="minorHAnsi" w:cstheme="minorHAnsi"/>
          <w:sz w:val="20"/>
          <w:lang w:bidi="sq-AL"/>
        </w:rPr>
        <w:t>Moraju biti razumani, opravdani i u skladu sa zahtevima dobrog finansijskog upravljanja</w:t>
      </w:r>
      <w:r w:rsidRPr="00586DCF">
        <w:rPr>
          <w:rFonts w:asciiTheme="minorHAnsi" w:eastAsiaTheme="minorEastAsia" w:hAnsiTheme="minorHAnsi" w:cstheme="minorHAnsi"/>
          <w:sz w:val="20"/>
          <w:lang w:bidi="sq-AL"/>
        </w:rPr>
        <w:t>.</w:t>
      </w:r>
    </w:p>
    <w:p w14:paraId="58A6A95B" w14:textId="77777777" w:rsidR="005A7420" w:rsidRPr="00586DCF" w:rsidRDefault="005A7420" w:rsidP="005A7420">
      <w:pPr>
        <w:pStyle w:val="BankNormal"/>
        <w:snapToGrid w:val="0"/>
        <w:spacing w:after="0"/>
        <w:jc w:val="both"/>
        <w:rPr>
          <w:rFonts w:asciiTheme="minorHAnsi" w:eastAsiaTheme="minorEastAsia" w:hAnsiTheme="minorHAnsi" w:cstheme="minorHAnsi"/>
          <w:sz w:val="20"/>
          <w:lang w:bidi="sq-AL"/>
        </w:rPr>
      </w:pPr>
    </w:p>
    <w:p w14:paraId="0CBBF04A" w14:textId="77777777" w:rsidR="005A7420" w:rsidRPr="00586DCF" w:rsidRDefault="005A7420" w:rsidP="005A7420">
      <w:pPr>
        <w:pStyle w:val="BankNormal"/>
        <w:snapToGrid w:val="0"/>
        <w:spacing w:after="0"/>
        <w:jc w:val="both"/>
        <w:rPr>
          <w:rFonts w:cstheme="minorHAnsi"/>
          <w:sz w:val="20"/>
          <w:lang w:bidi="sq-AL"/>
        </w:rPr>
      </w:pPr>
      <w:r w:rsidRPr="00634BCA">
        <w:rPr>
          <w:rFonts w:asciiTheme="minorHAnsi" w:eastAsiaTheme="minorEastAsia" w:hAnsiTheme="minorHAnsi" w:cstheme="minorHAnsi"/>
          <w:sz w:val="20"/>
          <w:lang w:bidi="sq-AL"/>
        </w:rPr>
        <w:t>Prihvatljivi troškovi uključuju, ali nisu ograničeni na</w:t>
      </w:r>
      <w:r w:rsidRPr="00586DCF">
        <w:rPr>
          <w:rFonts w:asciiTheme="minorHAnsi" w:eastAsiaTheme="minorEastAsia" w:hAnsiTheme="minorHAnsi" w:cstheme="minorHAnsi"/>
          <w:sz w:val="20"/>
          <w:lang w:bidi="sq-AL"/>
        </w:rPr>
        <w:t xml:space="preserve">: </w:t>
      </w:r>
    </w:p>
    <w:p w14:paraId="20FDED66" w14:textId="77777777" w:rsidR="005A7420" w:rsidRPr="00634BCA" w:rsidRDefault="005A7420" w:rsidP="005A7420">
      <w:pPr>
        <w:pStyle w:val="NoSpacing"/>
        <w:numPr>
          <w:ilvl w:val="0"/>
          <w:numId w:val="22"/>
        </w:numPr>
        <w:shd w:val="clear" w:color="auto" w:fill="FFFFFF" w:themeFill="background1"/>
        <w:jc w:val="both"/>
        <w:rPr>
          <w:rFonts w:cstheme="minorHAnsi"/>
          <w:spacing w:val="-1"/>
          <w:sz w:val="20"/>
          <w:szCs w:val="20"/>
        </w:rPr>
      </w:pPr>
      <w:r w:rsidRPr="00634BCA">
        <w:rPr>
          <w:rFonts w:cstheme="minorHAnsi"/>
          <w:spacing w:val="-1"/>
          <w:sz w:val="20"/>
          <w:szCs w:val="20"/>
        </w:rPr>
        <w:t>Troškovi nabavke opreme neophodne za realizaciju potprojekta koji se moraju odrediti vrstom i količinom;</w:t>
      </w:r>
    </w:p>
    <w:p w14:paraId="48892378" w14:textId="77777777" w:rsidR="005A7420" w:rsidRPr="00634BCA" w:rsidRDefault="005A7420" w:rsidP="005A7420">
      <w:pPr>
        <w:pStyle w:val="NoSpacing"/>
        <w:numPr>
          <w:ilvl w:val="0"/>
          <w:numId w:val="22"/>
        </w:numPr>
        <w:shd w:val="clear" w:color="auto" w:fill="FFFFFF" w:themeFill="background1"/>
        <w:jc w:val="both"/>
        <w:rPr>
          <w:rFonts w:cstheme="minorHAnsi"/>
          <w:spacing w:val="-1"/>
          <w:sz w:val="20"/>
          <w:szCs w:val="20"/>
        </w:rPr>
      </w:pPr>
      <w:r w:rsidRPr="00634BCA">
        <w:rPr>
          <w:rFonts w:cstheme="minorHAnsi"/>
          <w:spacing w:val="-1"/>
          <w:sz w:val="20"/>
          <w:szCs w:val="20"/>
        </w:rPr>
        <w:t>Troškovi organizovanja obrazovnih aktivnosti (didaktički materijali, oprema, pribor);</w:t>
      </w:r>
    </w:p>
    <w:p w14:paraId="50227C06" w14:textId="77777777" w:rsidR="005A7420" w:rsidRPr="00634BCA" w:rsidRDefault="005A7420" w:rsidP="005A7420">
      <w:pPr>
        <w:pStyle w:val="NoSpacing"/>
        <w:numPr>
          <w:ilvl w:val="0"/>
          <w:numId w:val="22"/>
        </w:numPr>
        <w:shd w:val="clear" w:color="auto" w:fill="FFFFFF" w:themeFill="background1"/>
        <w:jc w:val="both"/>
        <w:rPr>
          <w:rFonts w:cstheme="minorHAnsi"/>
          <w:spacing w:val="-1"/>
          <w:sz w:val="20"/>
          <w:szCs w:val="20"/>
        </w:rPr>
      </w:pPr>
      <w:r w:rsidRPr="00634BCA">
        <w:rPr>
          <w:rFonts w:cstheme="minorHAnsi"/>
          <w:spacing w:val="-1"/>
          <w:sz w:val="20"/>
          <w:szCs w:val="20"/>
        </w:rPr>
        <w:t>Grafičke usluge (priprema za štampu, usluge štampanja letaka, brošura, časopisa, itd., navodeći vrstu i obim usluge, količinu, jediničnu cenu, itd.);</w:t>
      </w:r>
    </w:p>
    <w:p w14:paraId="55FCCC51" w14:textId="77777777" w:rsidR="005A7420" w:rsidRPr="00634BCA" w:rsidRDefault="005A7420" w:rsidP="005A7420">
      <w:pPr>
        <w:pStyle w:val="NoSpacing"/>
        <w:numPr>
          <w:ilvl w:val="0"/>
          <w:numId w:val="22"/>
        </w:numPr>
        <w:shd w:val="clear" w:color="auto" w:fill="FFFFFF" w:themeFill="background1"/>
        <w:jc w:val="both"/>
        <w:rPr>
          <w:rFonts w:cstheme="minorHAnsi"/>
          <w:spacing w:val="-1"/>
          <w:sz w:val="20"/>
          <w:szCs w:val="20"/>
        </w:rPr>
      </w:pPr>
      <w:r w:rsidRPr="00634BCA">
        <w:rPr>
          <w:rFonts w:cstheme="minorHAnsi"/>
          <w:spacing w:val="-1"/>
          <w:sz w:val="20"/>
          <w:szCs w:val="20"/>
        </w:rPr>
        <w:t>Usluge oglašavanja (kampanje na društvenim mrežama, televizijske i radio prezentacije, održavanje veb stranica, novinskih najava, javnih materijala, itd., utvrđivanje vrste promocije, trajanja i cene usluga);</w:t>
      </w:r>
    </w:p>
    <w:p w14:paraId="5E372CF8" w14:textId="77777777" w:rsidR="005A7420" w:rsidRPr="00634BCA" w:rsidRDefault="005A7420" w:rsidP="005A7420">
      <w:pPr>
        <w:pStyle w:val="NoSpacing"/>
        <w:numPr>
          <w:ilvl w:val="0"/>
          <w:numId w:val="22"/>
        </w:numPr>
        <w:shd w:val="clear" w:color="auto" w:fill="FFFFFF" w:themeFill="background1"/>
        <w:jc w:val="both"/>
        <w:rPr>
          <w:rFonts w:cstheme="minorHAnsi"/>
          <w:spacing w:val="-1"/>
          <w:sz w:val="20"/>
          <w:szCs w:val="20"/>
        </w:rPr>
      </w:pPr>
      <w:r w:rsidRPr="00634BCA">
        <w:rPr>
          <w:rFonts w:cstheme="minorHAnsi"/>
          <w:spacing w:val="-1"/>
          <w:sz w:val="20"/>
          <w:szCs w:val="20"/>
        </w:rPr>
        <w:t>Troškovi održavanja, rehabilitacije i popravke komunalnih objekata i infrastrukture;</w:t>
      </w:r>
    </w:p>
    <w:p w14:paraId="05C5155E" w14:textId="77777777" w:rsidR="005A7420" w:rsidRPr="00634BCA" w:rsidRDefault="005A7420" w:rsidP="005A7420">
      <w:pPr>
        <w:pStyle w:val="NoSpacing"/>
        <w:numPr>
          <w:ilvl w:val="0"/>
          <w:numId w:val="22"/>
        </w:numPr>
        <w:shd w:val="clear" w:color="auto" w:fill="FFFFFF" w:themeFill="background1"/>
        <w:jc w:val="both"/>
        <w:rPr>
          <w:rFonts w:cstheme="minorHAnsi"/>
          <w:spacing w:val="-1"/>
          <w:sz w:val="20"/>
          <w:szCs w:val="20"/>
        </w:rPr>
      </w:pPr>
      <w:r w:rsidRPr="00634BCA">
        <w:rPr>
          <w:rFonts w:cstheme="minorHAnsi"/>
          <w:spacing w:val="-1"/>
          <w:sz w:val="20"/>
          <w:szCs w:val="20"/>
        </w:rPr>
        <w:t>Stručne usluge nabavljene od pružatelja usluga ili izvođača (npr. obuka, dizajn i instalacija tehničkih rešenja);</w:t>
      </w:r>
    </w:p>
    <w:p w14:paraId="74D16082" w14:textId="77777777" w:rsidR="005A7420" w:rsidRPr="00634BCA" w:rsidRDefault="005A7420" w:rsidP="005A7420">
      <w:pPr>
        <w:pStyle w:val="NoSpacing"/>
        <w:numPr>
          <w:ilvl w:val="0"/>
          <w:numId w:val="22"/>
        </w:numPr>
        <w:shd w:val="clear" w:color="auto" w:fill="FFFFFF" w:themeFill="background1"/>
        <w:jc w:val="both"/>
        <w:rPr>
          <w:rFonts w:cstheme="minorHAnsi"/>
          <w:spacing w:val="-1"/>
          <w:sz w:val="20"/>
          <w:szCs w:val="20"/>
        </w:rPr>
      </w:pPr>
      <w:r w:rsidRPr="00634BCA">
        <w:rPr>
          <w:rFonts w:cstheme="minorHAnsi"/>
          <w:spacing w:val="-1"/>
          <w:sz w:val="20"/>
          <w:szCs w:val="20"/>
        </w:rPr>
        <w:t>Logistika (troškovi telefona, interneta, prostora za događaje, itd.);</w:t>
      </w:r>
    </w:p>
    <w:p w14:paraId="1F703F42" w14:textId="77777777" w:rsidR="005A7420" w:rsidRPr="00586DCF" w:rsidRDefault="005A7420" w:rsidP="005A7420">
      <w:pPr>
        <w:pStyle w:val="NoSpacing"/>
        <w:numPr>
          <w:ilvl w:val="0"/>
          <w:numId w:val="22"/>
        </w:numPr>
        <w:shd w:val="clear" w:color="auto" w:fill="FFFFFF" w:themeFill="background1"/>
        <w:jc w:val="both"/>
        <w:rPr>
          <w:rFonts w:cstheme="minorHAnsi"/>
          <w:sz w:val="20"/>
          <w:szCs w:val="20"/>
        </w:rPr>
      </w:pPr>
      <w:r w:rsidRPr="00634BCA">
        <w:rPr>
          <w:rFonts w:cstheme="minorHAnsi"/>
          <w:spacing w:val="-1"/>
          <w:sz w:val="20"/>
          <w:szCs w:val="20"/>
        </w:rPr>
        <w:t>Operativni troškovi povezani sa sprovođenjem potprojekata, kao što su putni troškovi (javni prevoz, dnevnice</w:t>
      </w:r>
      <w:r w:rsidRPr="00586DCF">
        <w:rPr>
          <w:rFonts w:cstheme="minorHAnsi"/>
          <w:sz w:val="20"/>
          <w:szCs w:val="20"/>
        </w:rPr>
        <w:t>).</w:t>
      </w:r>
    </w:p>
    <w:p w14:paraId="30378D56" w14:textId="77777777" w:rsidR="005A7420" w:rsidRPr="00586DCF" w:rsidRDefault="005A7420" w:rsidP="005A7420">
      <w:pPr>
        <w:pStyle w:val="NoSpacing"/>
        <w:shd w:val="clear" w:color="auto" w:fill="FFFFFF" w:themeFill="background1"/>
        <w:jc w:val="both"/>
        <w:rPr>
          <w:rFonts w:cstheme="minorHAnsi"/>
          <w:sz w:val="20"/>
          <w:szCs w:val="20"/>
        </w:rPr>
      </w:pPr>
    </w:p>
    <w:p w14:paraId="5E35E539" w14:textId="77777777" w:rsidR="005A7420" w:rsidRPr="00586DCF" w:rsidRDefault="005A7420" w:rsidP="001C59B7">
      <w:pPr>
        <w:pStyle w:val="Heading3"/>
      </w:pPr>
      <w:bookmarkStart w:id="7" w:name="_Toc101439441"/>
      <w:r>
        <w:t>Radni kapital</w:t>
      </w:r>
      <w:bookmarkEnd w:id="7"/>
    </w:p>
    <w:p w14:paraId="54A79266" w14:textId="77777777" w:rsidR="005A7420" w:rsidRPr="00586DCF" w:rsidRDefault="005A7420" w:rsidP="005A7420">
      <w:pPr>
        <w:pStyle w:val="NoSpacing"/>
        <w:shd w:val="clear" w:color="auto" w:fill="FFFFFF" w:themeFill="background1"/>
        <w:jc w:val="both"/>
        <w:rPr>
          <w:rFonts w:cstheme="minorHAnsi"/>
          <w:sz w:val="20"/>
          <w:szCs w:val="20"/>
        </w:rPr>
      </w:pPr>
      <w:r w:rsidRPr="00634BCA">
        <w:rPr>
          <w:rFonts w:cstheme="minorHAnsi"/>
          <w:sz w:val="20"/>
          <w:szCs w:val="20"/>
        </w:rPr>
        <w:t>Fiksni troškovi ograničeni na plate za ljude koji direktno upravljaju i isporučuju usluge/proizvode podprojekta. Korisnicima potgranta nije dozvoljeno da sami sebi isplaćuju platu iz sredstava podgranta i neće im biti nadoknađeni rad koji su sami obavili u okviru pojedinačnog potprojekta. Plate će se isplaćivati samo ugovorenom osoblju selektivno</w:t>
      </w:r>
      <w:r w:rsidRPr="00586DCF">
        <w:rPr>
          <w:rFonts w:cstheme="minorHAnsi"/>
          <w:sz w:val="20"/>
          <w:szCs w:val="20"/>
        </w:rPr>
        <w:t xml:space="preserve">. </w:t>
      </w:r>
    </w:p>
    <w:p w14:paraId="3BA832F7" w14:textId="77777777" w:rsidR="005A7420" w:rsidRPr="00586DCF" w:rsidRDefault="005A7420" w:rsidP="005A7420">
      <w:pPr>
        <w:pStyle w:val="NoSpacing"/>
        <w:shd w:val="clear" w:color="auto" w:fill="FFFFFF" w:themeFill="background1"/>
        <w:jc w:val="center"/>
        <w:rPr>
          <w:rFonts w:cstheme="minorHAnsi"/>
          <w:sz w:val="20"/>
          <w:szCs w:val="20"/>
        </w:rPr>
      </w:pPr>
    </w:p>
    <w:p w14:paraId="3EB7F463" w14:textId="77777777" w:rsidR="005A7420" w:rsidRPr="00586DCF" w:rsidRDefault="005A7420" w:rsidP="005A7420">
      <w:pPr>
        <w:pStyle w:val="NoSpacing"/>
        <w:shd w:val="clear" w:color="auto" w:fill="FFFFFF" w:themeFill="background1"/>
        <w:jc w:val="both"/>
        <w:rPr>
          <w:rFonts w:cstheme="minorHAnsi"/>
          <w:sz w:val="20"/>
          <w:szCs w:val="20"/>
        </w:rPr>
      </w:pPr>
      <w:r w:rsidRPr="00634BCA">
        <w:rPr>
          <w:rFonts w:cstheme="minorHAnsi"/>
          <w:sz w:val="20"/>
          <w:szCs w:val="20"/>
        </w:rPr>
        <w:t xml:space="preserve">Ukupni trošak </w:t>
      </w:r>
      <w:r>
        <w:rPr>
          <w:rFonts w:cstheme="minorHAnsi"/>
          <w:sz w:val="20"/>
          <w:szCs w:val="20"/>
        </w:rPr>
        <w:t>radnog kapitala</w:t>
      </w:r>
      <w:r w:rsidRPr="00634BCA">
        <w:rPr>
          <w:rFonts w:cstheme="minorHAnsi"/>
          <w:sz w:val="20"/>
          <w:szCs w:val="20"/>
        </w:rPr>
        <w:t xml:space="preserve"> ne sme prelaziti 30% ukupne vrednosti pojedinačnog potprojekta</w:t>
      </w:r>
      <w:r w:rsidRPr="00586DCF">
        <w:rPr>
          <w:rFonts w:cstheme="minorHAnsi"/>
          <w:sz w:val="20"/>
          <w:szCs w:val="20"/>
        </w:rPr>
        <w:t xml:space="preserve">. </w:t>
      </w:r>
    </w:p>
    <w:p w14:paraId="32275ED2" w14:textId="77777777" w:rsidR="005A7420" w:rsidRPr="00586DCF" w:rsidRDefault="005A7420" w:rsidP="005A7420">
      <w:pPr>
        <w:pStyle w:val="NoSpacing"/>
        <w:shd w:val="clear" w:color="auto" w:fill="FFFFFF" w:themeFill="background1"/>
        <w:jc w:val="both"/>
        <w:rPr>
          <w:rFonts w:cstheme="minorHAnsi"/>
          <w:sz w:val="20"/>
          <w:szCs w:val="20"/>
          <w:highlight w:val="yellow"/>
        </w:rPr>
      </w:pPr>
    </w:p>
    <w:p w14:paraId="2B6D6480" w14:textId="77777777" w:rsidR="005A7420" w:rsidRPr="00586DCF" w:rsidRDefault="005A7420" w:rsidP="001C59B7">
      <w:pPr>
        <w:pStyle w:val="Heading3"/>
      </w:pPr>
      <w:bookmarkStart w:id="8" w:name="_Toc83297797"/>
      <w:bookmarkStart w:id="9" w:name="_Toc101439442"/>
      <w:r w:rsidRPr="00634BCA">
        <w:t>Neprihvatljive aktivnosti</w:t>
      </w:r>
      <w:bookmarkEnd w:id="8"/>
      <w:bookmarkEnd w:id="9"/>
    </w:p>
    <w:p w14:paraId="1EB53D8C" w14:textId="77777777" w:rsidR="005A7420" w:rsidRPr="00586DCF" w:rsidRDefault="005A7420" w:rsidP="005A7420">
      <w:pPr>
        <w:jc w:val="both"/>
        <w:rPr>
          <w:rFonts w:cstheme="minorHAnsi"/>
          <w:sz w:val="20"/>
          <w:szCs w:val="20"/>
        </w:rPr>
      </w:pPr>
    </w:p>
    <w:p w14:paraId="2A06DC6F" w14:textId="77777777" w:rsidR="005A7420" w:rsidRPr="00586DCF" w:rsidRDefault="005A7420" w:rsidP="005A7420">
      <w:r w:rsidRPr="009C52AB">
        <w:rPr>
          <w:rFonts w:cstheme="minorHAnsi"/>
          <w:sz w:val="20"/>
          <w:szCs w:val="20"/>
        </w:rPr>
        <w:t>Negativna lista investicija prema projektu Okvir za upravljanje životnom sred</w:t>
      </w:r>
      <w:r>
        <w:rPr>
          <w:rFonts w:cstheme="minorHAnsi"/>
          <w:sz w:val="20"/>
          <w:szCs w:val="20"/>
        </w:rPr>
        <w:t xml:space="preserve">inom i društveno upravljanje </w:t>
      </w:r>
      <w:r w:rsidRPr="009C52AB">
        <w:rPr>
          <w:rFonts w:cstheme="minorHAnsi"/>
          <w:sz w:val="20"/>
          <w:szCs w:val="20"/>
        </w:rPr>
        <w:t>(ESMF</w:t>
      </w:r>
      <w:r w:rsidRPr="00586DCF">
        <w:rPr>
          <w:rFonts w:cstheme="minorHAnsi"/>
          <w:sz w:val="20"/>
          <w:szCs w:val="20"/>
        </w:rPr>
        <w:t xml:space="preserve">): </w:t>
      </w:r>
    </w:p>
    <w:p w14:paraId="6443471E" w14:textId="77777777" w:rsidR="005A7420" w:rsidRPr="009C52AB" w:rsidRDefault="005A7420" w:rsidP="005A7420">
      <w:pPr>
        <w:pStyle w:val="NoSpacing"/>
        <w:numPr>
          <w:ilvl w:val="0"/>
          <w:numId w:val="21"/>
        </w:numPr>
        <w:ind w:left="1080" w:hanging="358"/>
        <w:jc w:val="both"/>
        <w:rPr>
          <w:rFonts w:asciiTheme="minorHAnsi" w:hAnsiTheme="minorHAnsi" w:cstheme="minorHAnsi"/>
          <w:sz w:val="20"/>
          <w:szCs w:val="20"/>
        </w:rPr>
      </w:pPr>
      <w:r w:rsidRPr="009C52AB">
        <w:rPr>
          <w:rFonts w:asciiTheme="minorHAnsi" w:hAnsiTheme="minorHAnsi" w:cstheme="minorHAnsi"/>
          <w:sz w:val="20"/>
          <w:szCs w:val="20"/>
        </w:rPr>
        <w:lastRenderedPageBreak/>
        <w:t>Aktivnosti u zaštićenim područjima i na objektima i/ili lokacijama kulturnog nasleđa;</w:t>
      </w:r>
    </w:p>
    <w:p w14:paraId="040C3DF7" w14:textId="77777777" w:rsidR="005A7420" w:rsidRPr="009C52AB" w:rsidRDefault="005A7420" w:rsidP="005A7420">
      <w:pPr>
        <w:pStyle w:val="NoSpacing"/>
        <w:numPr>
          <w:ilvl w:val="0"/>
          <w:numId w:val="21"/>
        </w:numPr>
        <w:ind w:left="1080" w:hanging="358"/>
        <w:jc w:val="both"/>
        <w:rPr>
          <w:rFonts w:asciiTheme="minorHAnsi" w:hAnsiTheme="minorHAnsi" w:cstheme="minorHAnsi"/>
          <w:sz w:val="20"/>
          <w:szCs w:val="20"/>
        </w:rPr>
      </w:pPr>
      <w:r w:rsidRPr="009C52AB">
        <w:rPr>
          <w:rFonts w:asciiTheme="minorHAnsi" w:hAnsiTheme="minorHAnsi" w:cstheme="minorHAnsi"/>
          <w:sz w:val="20"/>
          <w:szCs w:val="20"/>
        </w:rPr>
        <w:t>Aktivnosti koje pokreću zaštitne politike Svetske banke osim 4.01 Procene životne sredine;</w:t>
      </w:r>
    </w:p>
    <w:p w14:paraId="64B1EE11" w14:textId="77777777" w:rsidR="005A7420" w:rsidRPr="009C52AB" w:rsidRDefault="005A7420" w:rsidP="005A7420">
      <w:pPr>
        <w:pStyle w:val="NoSpacing"/>
        <w:numPr>
          <w:ilvl w:val="0"/>
          <w:numId w:val="21"/>
        </w:numPr>
        <w:ind w:left="1080" w:hanging="358"/>
        <w:jc w:val="both"/>
        <w:rPr>
          <w:rFonts w:asciiTheme="minorHAnsi" w:hAnsiTheme="minorHAnsi" w:cstheme="minorHAnsi"/>
          <w:sz w:val="20"/>
          <w:szCs w:val="20"/>
        </w:rPr>
      </w:pPr>
      <w:r w:rsidRPr="009C52AB">
        <w:rPr>
          <w:rFonts w:asciiTheme="minorHAnsi" w:hAnsiTheme="minorHAnsi" w:cstheme="minorHAnsi"/>
          <w:sz w:val="20"/>
          <w:szCs w:val="20"/>
        </w:rPr>
        <w:t>Aktivnosti koje ograničavaju ili uskraćuju pristup pojedincu ili zajednici zemlji ili raspoloživim resursima;</w:t>
      </w:r>
    </w:p>
    <w:p w14:paraId="1906EB01" w14:textId="77777777" w:rsidR="005A7420" w:rsidRPr="009C52AB" w:rsidRDefault="005A7420" w:rsidP="005A7420">
      <w:pPr>
        <w:pStyle w:val="NoSpacing"/>
        <w:numPr>
          <w:ilvl w:val="0"/>
          <w:numId w:val="21"/>
        </w:numPr>
        <w:ind w:left="1080" w:hanging="358"/>
        <w:jc w:val="both"/>
        <w:rPr>
          <w:rFonts w:asciiTheme="minorHAnsi" w:hAnsiTheme="minorHAnsi" w:cstheme="minorHAnsi"/>
          <w:sz w:val="20"/>
          <w:szCs w:val="20"/>
        </w:rPr>
      </w:pPr>
      <w:r w:rsidRPr="009C52AB">
        <w:rPr>
          <w:rFonts w:asciiTheme="minorHAnsi" w:hAnsiTheme="minorHAnsi" w:cstheme="minorHAnsi"/>
          <w:sz w:val="20"/>
          <w:szCs w:val="20"/>
        </w:rPr>
        <w:t>Aktivnosti koje uzrokuju sticanje zemljišta ili raseljavanje pojedinaca ili zajednica (tj. pokreću Operativnu politiku Svetske banke (OP) 4.12 o prisilnom preseljavanju);</w:t>
      </w:r>
    </w:p>
    <w:p w14:paraId="39723D43" w14:textId="77777777" w:rsidR="005A7420" w:rsidRPr="009C52AB" w:rsidRDefault="005A7420" w:rsidP="005A7420">
      <w:pPr>
        <w:pStyle w:val="NoSpacing"/>
        <w:numPr>
          <w:ilvl w:val="0"/>
          <w:numId w:val="21"/>
        </w:numPr>
        <w:ind w:left="1080" w:hanging="358"/>
        <w:jc w:val="both"/>
        <w:rPr>
          <w:rFonts w:asciiTheme="minorHAnsi" w:hAnsiTheme="minorHAnsi" w:cstheme="minorHAnsi"/>
          <w:sz w:val="20"/>
          <w:szCs w:val="20"/>
        </w:rPr>
      </w:pPr>
      <w:r w:rsidRPr="009C52AB">
        <w:rPr>
          <w:rFonts w:asciiTheme="minorHAnsi" w:hAnsiTheme="minorHAnsi" w:cstheme="minorHAnsi"/>
          <w:sz w:val="20"/>
          <w:szCs w:val="20"/>
        </w:rPr>
        <w:t>Aktivnosti u zaštićenim područjima i osetljivim ili kritičnim prirodnim staništima, kao i potprojekti koji uključuju seču;</w:t>
      </w:r>
    </w:p>
    <w:p w14:paraId="6EA4FA25" w14:textId="77777777" w:rsidR="005A7420" w:rsidRPr="009C52AB" w:rsidRDefault="005A7420" w:rsidP="005A7420">
      <w:pPr>
        <w:pStyle w:val="NoSpacing"/>
        <w:numPr>
          <w:ilvl w:val="0"/>
          <w:numId w:val="21"/>
        </w:numPr>
        <w:ind w:left="1080" w:hanging="358"/>
        <w:jc w:val="both"/>
        <w:rPr>
          <w:rFonts w:asciiTheme="minorHAnsi" w:hAnsiTheme="minorHAnsi" w:cstheme="minorHAnsi"/>
          <w:sz w:val="20"/>
          <w:szCs w:val="20"/>
        </w:rPr>
      </w:pPr>
      <w:r w:rsidRPr="009C52AB">
        <w:rPr>
          <w:rFonts w:asciiTheme="minorHAnsi" w:hAnsiTheme="minorHAnsi" w:cstheme="minorHAnsi"/>
          <w:sz w:val="20"/>
          <w:szCs w:val="20"/>
        </w:rPr>
        <w:t>Aktivnosti koje uvode promene u upotrebi pesticida;</w:t>
      </w:r>
    </w:p>
    <w:p w14:paraId="4A1D503B" w14:textId="77777777" w:rsidR="005A7420" w:rsidRPr="009C52AB" w:rsidRDefault="005A7420" w:rsidP="005A7420">
      <w:pPr>
        <w:pStyle w:val="NoSpacing"/>
        <w:numPr>
          <w:ilvl w:val="0"/>
          <w:numId w:val="21"/>
        </w:numPr>
        <w:ind w:left="1080" w:hanging="358"/>
        <w:jc w:val="both"/>
        <w:rPr>
          <w:rFonts w:asciiTheme="minorHAnsi" w:hAnsiTheme="minorHAnsi" w:cstheme="minorHAnsi"/>
          <w:sz w:val="20"/>
          <w:szCs w:val="20"/>
        </w:rPr>
      </w:pPr>
      <w:r w:rsidRPr="009C52AB">
        <w:rPr>
          <w:rFonts w:asciiTheme="minorHAnsi" w:hAnsiTheme="minorHAnsi" w:cstheme="minorHAnsi"/>
          <w:sz w:val="20"/>
          <w:szCs w:val="20"/>
        </w:rPr>
        <w:t>Aktivnosti koje utiču na kulturnu baštinu;</w:t>
      </w:r>
    </w:p>
    <w:p w14:paraId="619BCBC3" w14:textId="77777777" w:rsidR="005A7420" w:rsidRPr="009C52AB" w:rsidRDefault="005A7420" w:rsidP="005A7420">
      <w:pPr>
        <w:pStyle w:val="NoSpacing"/>
        <w:numPr>
          <w:ilvl w:val="0"/>
          <w:numId w:val="21"/>
        </w:numPr>
        <w:ind w:left="1080" w:hanging="358"/>
        <w:jc w:val="both"/>
        <w:rPr>
          <w:rFonts w:asciiTheme="minorHAnsi" w:hAnsiTheme="minorHAnsi" w:cstheme="minorHAnsi"/>
          <w:sz w:val="20"/>
          <w:szCs w:val="20"/>
        </w:rPr>
      </w:pPr>
      <w:r w:rsidRPr="009C52AB">
        <w:rPr>
          <w:rFonts w:asciiTheme="minorHAnsi" w:hAnsiTheme="minorHAnsi" w:cstheme="minorHAnsi"/>
          <w:sz w:val="20"/>
          <w:szCs w:val="20"/>
        </w:rPr>
        <w:t>Potprojekti koji mogu rezultirati stvaranjem velikih količina opasnog otpada (azbestni otpad, CFL, ostaci olovnih boja, rezervoari kontaminirani lož uljem, itd.) ili posebne vrste opasnog otpada (npr. radioaktivni gromobran);</w:t>
      </w:r>
    </w:p>
    <w:p w14:paraId="30E4D9FF" w14:textId="77777777" w:rsidR="005A7420" w:rsidRPr="009C52AB" w:rsidRDefault="005A7420" w:rsidP="005A7420">
      <w:pPr>
        <w:pStyle w:val="NoSpacing"/>
        <w:numPr>
          <w:ilvl w:val="0"/>
          <w:numId w:val="21"/>
        </w:numPr>
        <w:ind w:left="1080" w:hanging="358"/>
        <w:jc w:val="both"/>
        <w:rPr>
          <w:rFonts w:asciiTheme="minorHAnsi" w:hAnsiTheme="minorHAnsi" w:cstheme="minorHAnsi"/>
          <w:sz w:val="20"/>
          <w:szCs w:val="20"/>
        </w:rPr>
      </w:pPr>
      <w:r w:rsidRPr="009C52AB">
        <w:rPr>
          <w:rFonts w:asciiTheme="minorHAnsi" w:hAnsiTheme="minorHAnsi" w:cstheme="minorHAnsi"/>
          <w:sz w:val="20"/>
          <w:szCs w:val="20"/>
        </w:rPr>
        <w:t>Troškovi kamata na dugove;</w:t>
      </w:r>
    </w:p>
    <w:p w14:paraId="568BE387" w14:textId="77777777" w:rsidR="005A7420" w:rsidRPr="009C52AB" w:rsidRDefault="005A7420" w:rsidP="005A7420">
      <w:pPr>
        <w:pStyle w:val="NoSpacing"/>
        <w:numPr>
          <w:ilvl w:val="0"/>
          <w:numId w:val="21"/>
        </w:numPr>
        <w:ind w:left="1080" w:hanging="358"/>
        <w:jc w:val="both"/>
        <w:rPr>
          <w:rFonts w:asciiTheme="minorHAnsi" w:hAnsiTheme="minorHAnsi" w:cstheme="minorHAnsi"/>
          <w:sz w:val="20"/>
          <w:szCs w:val="20"/>
        </w:rPr>
      </w:pPr>
      <w:r w:rsidRPr="009C52AB">
        <w:rPr>
          <w:rFonts w:asciiTheme="minorHAnsi" w:hAnsiTheme="minorHAnsi" w:cstheme="minorHAnsi"/>
          <w:sz w:val="20"/>
          <w:szCs w:val="20"/>
        </w:rPr>
        <w:t>Kazne, novčane kazne i troškovi sudskog postupka;</w:t>
      </w:r>
    </w:p>
    <w:p w14:paraId="4FA48E5B" w14:textId="77777777" w:rsidR="005A7420" w:rsidRPr="009C52AB" w:rsidRDefault="005A7420" w:rsidP="005A7420">
      <w:pPr>
        <w:pStyle w:val="NoSpacing"/>
        <w:numPr>
          <w:ilvl w:val="0"/>
          <w:numId w:val="21"/>
        </w:numPr>
        <w:ind w:left="1080" w:hanging="358"/>
        <w:jc w:val="both"/>
        <w:rPr>
          <w:rFonts w:asciiTheme="minorHAnsi" w:hAnsiTheme="minorHAnsi" w:cstheme="minorHAnsi"/>
          <w:sz w:val="20"/>
          <w:szCs w:val="20"/>
        </w:rPr>
      </w:pPr>
      <w:r w:rsidRPr="009C52AB">
        <w:rPr>
          <w:rFonts w:asciiTheme="minorHAnsi" w:hAnsiTheme="minorHAnsi" w:cstheme="minorHAnsi"/>
          <w:sz w:val="20"/>
          <w:szCs w:val="20"/>
        </w:rPr>
        <w:t>Isplata bonusa zaposlenima;</w:t>
      </w:r>
    </w:p>
    <w:p w14:paraId="76F60A81" w14:textId="77777777" w:rsidR="005A7420" w:rsidRPr="009C52AB" w:rsidRDefault="005A7420" w:rsidP="005A7420">
      <w:pPr>
        <w:pStyle w:val="NoSpacing"/>
        <w:numPr>
          <w:ilvl w:val="0"/>
          <w:numId w:val="21"/>
        </w:numPr>
        <w:ind w:left="1080" w:hanging="358"/>
        <w:jc w:val="both"/>
        <w:rPr>
          <w:rFonts w:asciiTheme="minorHAnsi" w:hAnsiTheme="minorHAnsi" w:cstheme="minorHAnsi"/>
          <w:sz w:val="20"/>
          <w:szCs w:val="20"/>
        </w:rPr>
      </w:pPr>
      <w:r w:rsidRPr="009C52AB">
        <w:rPr>
          <w:rFonts w:asciiTheme="minorHAnsi" w:hAnsiTheme="minorHAnsi" w:cstheme="minorHAnsi"/>
          <w:sz w:val="20"/>
          <w:szCs w:val="20"/>
        </w:rPr>
        <w:t>Troškovi koji su već spremni za finansiranje iz javnih izvora ili troškovi u periodu trajanja projekta finansirani iz drugih izvora;</w:t>
      </w:r>
    </w:p>
    <w:p w14:paraId="57FDE1B6" w14:textId="77777777" w:rsidR="005A7420" w:rsidRPr="009C52AB" w:rsidRDefault="005A7420" w:rsidP="005A7420">
      <w:pPr>
        <w:pStyle w:val="NoSpacing"/>
        <w:numPr>
          <w:ilvl w:val="0"/>
          <w:numId w:val="21"/>
        </w:numPr>
        <w:ind w:left="1080" w:hanging="358"/>
        <w:jc w:val="both"/>
        <w:rPr>
          <w:rFonts w:asciiTheme="minorHAnsi" w:hAnsiTheme="minorHAnsi" w:cstheme="minorHAnsi"/>
          <w:sz w:val="20"/>
          <w:szCs w:val="20"/>
        </w:rPr>
      </w:pPr>
      <w:r w:rsidRPr="009C52AB">
        <w:rPr>
          <w:rFonts w:asciiTheme="minorHAnsi" w:hAnsiTheme="minorHAnsi" w:cstheme="minorHAnsi"/>
          <w:sz w:val="20"/>
          <w:szCs w:val="20"/>
        </w:rPr>
        <w:t>Troškovi koji nisu pokriveni ugovorom (ugovorom sa pružaocem finansijske podrške);</w:t>
      </w:r>
    </w:p>
    <w:p w14:paraId="41C8DDDB" w14:textId="77777777" w:rsidR="005A7420" w:rsidRPr="009C52AB" w:rsidRDefault="005A7420" w:rsidP="005A7420">
      <w:pPr>
        <w:pStyle w:val="NoSpacing"/>
        <w:numPr>
          <w:ilvl w:val="0"/>
          <w:numId w:val="21"/>
        </w:numPr>
        <w:ind w:left="1080" w:hanging="358"/>
        <w:jc w:val="both"/>
        <w:rPr>
          <w:rFonts w:asciiTheme="minorHAnsi" w:hAnsiTheme="minorHAnsi" w:cstheme="minorHAnsi"/>
          <w:sz w:val="20"/>
          <w:szCs w:val="20"/>
        </w:rPr>
      </w:pPr>
      <w:r w:rsidRPr="009C52AB">
        <w:rPr>
          <w:rFonts w:asciiTheme="minorHAnsi" w:hAnsiTheme="minorHAnsi" w:cstheme="minorHAnsi"/>
          <w:sz w:val="20"/>
          <w:szCs w:val="20"/>
        </w:rPr>
        <w:t>Dobrotvorne donacije;</w:t>
      </w:r>
    </w:p>
    <w:p w14:paraId="51F3F320" w14:textId="77777777" w:rsidR="005A7420" w:rsidRPr="009C52AB" w:rsidRDefault="005A7420" w:rsidP="005A7420">
      <w:pPr>
        <w:pStyle w:val="NoSpacing"/>
        <w:numPr>
          <w:ilvl w:val="0"/>
          <w:numId w:val="21"/>
        </w:numPr>
        <w:ind w:left="1080" w:hanging="358"/>
        <w:jc w:val="both"/>
        <w:rPr>
          <w:rFonts w:asciiTheme="minorHAnsi" w:hAnsiTheme="minorHAnsi" w:cstheme="minorHAnsi"/>
          <w:sz w:val="20"/>
          <w:szCs w:val="20"/>
        </w:rPr>
      </w:pPr>
      <w:r w:rsidRPr="009C52AB">
        <w:rPr>
          <w:rFonts w:asciiTheme="minorHAnsi" w:hAnsiTheme="minorHAnsi" w:cstheme="minorHAnsi"/>
          <w:sz w:val="20"/>
          <w:szCs w:val="20"/>
        </w:rPr>
        <w:t>Krediti drugim organizacijama ili pojedincima;</w:t>
      </w:r>
    </w:p>
    <w:p w14:paraId="16C2E0EE" w14:textId="77777777" w:rsidR="005A7420" w:rsidRPr="009C52AB" w:rsidRDefault="005A7420" w:rsidP="005A7420">
      <w:pPr>
        <w:pStyle w:val="NoSpacing"/>
        <w:numPr>
          <w:ilvl w:val="0"/>
          <w:numId w:val="21"/>
        </w:numPr>
        <w:ind w:left="1080" w:hanging="358"/>
        <w:jc w:val="both"/>
        <w:rPr>
          <w:rFonts w:asciiTheme="minorHAnsi" w:hAnsiTheme="minorHAnsi" w:cstheme="minorHAnsi"/>
          <w:sz w:val="20"/>
          <w:szCs w:val="20"/>
        </w:rPr>
      </w:pPr>
      <w:r w:rsidRPr="009C52AB">
        <w:rPr>
          <w:rFonts w:asciiTheme="minorHAnsi" w:hAnsiTheme="minorHAnsi" w:cstheme="minorHAnsi"/>
          <w:sz w:val="20"/>
          <w:szCs w:val="20"/>
        </w:rPr>
        <w:t>Neće se finansirati nova gradnja; i</w:t>
      </w:r>
    </w:p>
    <w:p w14:paraId="4D3BB6D1" w14:textId="77777777" w:rsidR="005A7420" w:rsidRPr="00586DCF" w:rsidRDefault="005A7420" w:rsidP="005A7420">
      <w:pPr>
        <w:pStyle w:val="NoSpacing"/>
        <w:numPr>
          <w:ilvl w:val="0"/>
          <w:numId w:val="21"/>
        </w:numPr>
        <w:ind w:left="1080" w:hanging="358"/>
        <w:jc w:val="both"/>
        <w:rPr>
          <w:rFonts w:cstheme="minorHAnsi"/>
          <w:sz w:val="20"/>
          <w:szCs w:val="20"/>
        </w:rPr>
      </w:pPr>
      <w:r w:rsidRPr="009C52AB">
        <w:rPr>
          <w:rFonts w:asciiTheme="minorHAnsi" w:hAnsiTheme="minorHAnsi" w:cstheme="minorHAnsi"/>
          <w:sz w:val="20"/>
          <w:szCs w:val="20"/>
        </w:rPr>
        <w:t>Ostali troškovi koji nisu direktno povezani sa sadržajem i ciljevima projekta</w:t>
      </w:r>
      <w:r w:rsidRPr="00586DCF">
        <w:rPr>
          <w:rFonts w:cstheme="minorHAnsi"/>
          <w:sz w:val="20"/>
          <w:szCs w:val="20"/>
        </w:rPr>
        <w:t>.</w:t>
      </w:r>
    </w:p>
    <w:p w14:paraId="06E15E26" w14:textId="77777777" w:rsidR="005A7420" w:rsidRPr="00586DCF" w:rsidRDefault="005A7420" w:rsidP="005A7420">
      <w:pPr>
        <w:pStyle w:val="NoSpacing"/>
        <w:jc w:val="both"/>
        <w:rPr>
          <w:rFonts w:cstheme="minorHAnsi"/>
          <w:sz w:val="20"/>
          <w:szCs w:val="20"/>
        </w:rPr>
      </w:pPr>
    </w:p>
    <w:p w14:paraId="0EE592B4" w14:textId="77777777" w:rsidR="005A7420" w:rsidRPr="00586DCF" w:rsidRDefault="005A7420" w:rsidP="005A7420">
      <w:pPr>
        <w:keepNext/>
        <w:spacing w:after="240"/>
        <w:jc w:val="both"/>
        <w:rPr>
          <w:rFonts w:cstheme="minorHAnsi"/>
          <w:sz w:val="20"/>
          <w:szCs w:val="20"/>
        </w:rPr>
      </w:pPr>
      <w:r w:rsidRPr="004C10F9">
        <w:rPr>
          <w:rFonts w:cstheme="minorHAnsi"/>
          <w:sz w:val="20"/>
          <w:szCs w:val="20"/>
        </w:rPr>
        <w:t>Lista isključenja mera zaštite Svetske banke</w:t>
      </w:r>
      <w:r w:rsidRPr="00586DCF">
        <w:rPr>
          <w:rFonts w:cstheme="minorHAnsi"/>
          <w:sz w:val="20"/>
          <w:szCs w:val="20"/>
        </w:rPr>
        <w:t>:</w:t>
      </w:r>
    </w:p>
    <w:p w14:paraId="1839AE07" w14:textId="77777777" w:rsidR="005A7420" w:rsidRPr="009C52AB" w:rsidRDefault="005A7420" w:rsidP="005A7420">
      <w:pPr>
        <w:pStyle w:val="NoSpacing"/>
        <w:numPr>
          <w:ilvl w:val="0"/>
          <w:numId w:val="21"/>
        </w:numPr>
        <w:ind w:left="1080" w:hanging="358"/>
        <w:jc w:val="both"/>
        <w:rPr>
          <w:rFonts w:cstheme="minorHAnsi"/>
          <w:sz w:val="20"/>
          <w:szCs w:val="20"/>
        </w:rPr>
      </w:pPr>
      <w:r w:rsidRPr="009C52AB">
        <w:rPr>
          <w:rFonts w:cstheme="minorHAnsi"/>
          <w:sz w:val="20"/>
          <w:szCs w:val="20"/>
        </w:rPr>
        <w:t>Trgovina divljim životinjama i proizvodima od divljih životinja zabranjena prema CITES konvenciji,</w:t>
      </w:r>
    </w:p>
    <w:p w14:paraId="77D60394" w14:textId="77777777" w:rsidR="005A7420" w:rsidRPr="009C52AB" w:rsidRDefault="005A7420" w:rsidP="005A7420">
      <w:pPr>
        <w:pStyle w:val="NoSpacing"/>
        <w:numPr>
          <w:ilvl w:val="0"/>
          <w:numId w:val="21"/>
        </w:numPr>
        <w:ind w:left="1080" w:hanging="358"/>
        <w:jc w:val="both"/>
        <w:rPr>
          <w:rFonts w:cstheme="minorHAnsi"/>
          <w:sz w:val="20"/>
          <w:szCs w:val="20"/>
        </w:rPr>
      </w:pPr>
      <w:r w:rsidRPr="009C52AB">
        <w:rPr>
          <w:rFonts w:cstheme="minorHAnsi"/>
          <w:sz w:val="20"/>
          <w:szCs w:val="20"/>
        </w:rPr>
        <w:t>puštanje genetski izmenjenih organizama u prirodnu sredinu,</w:t>
      </w:r>
    </w:p>
    <w:p w14:paraId="68543814" w14:textId="77777777" w:rsidR="005A7420" w:rsidRPr="009C52AB" w:rsidRDefault="005A7420" w:rsidP="005A7420">
      <w:pPr>
        <w:pStyle w:val="NoSpacing"/>
        <w:numPr>
          <w:ilvl w:val="0"/>
          <w:numId w:val="21"/>
        </w:numPr>
        <w:ind w:left="1080" w:hanging="358"/>
        <w:jc w:val="both"/>
        <w:rPr>
          <w:rFonts w:cstheme="minorHAnsi"/>
          <w:sz w:val="20"/>
          <w:szCs w:val="20"/>
        </w:rPr>
      </w:pPr>
      <w:r w:rsidRPr="009C52AB">
        <w:rPr>
          <w:rFonts w:cstheme="minorHAnsi"/>
          <w:sz w:val="20"/>
          <w:szCs w:val="20"/>
        </w:rPr>
        <w:t>Proizvodnja, distribucija i prodaja zabranjenih pesticida i herbicida,</w:t>
      </w:r>
    </w:p>
    <w:p w14:paraId="01F84617" w14:textId="77777777" w:rsidR="005A7420" w:rsidRPr="009C52AB" w:rsidRDefault="005A7420" w:rsidP="005A7420">
      <w:pPr>
        <w:pStyle w:val="NoSpacing"/>
        <w:numPr>
          <w:ilvl w:val="0"/>
          <w:numId w:val="21"/>
        </w:numPr>
        <w:ind w:left="1080" w:hanging="358"/>
        <w:jc w:val="both"/>
        <w:rPr>
          <w:rFonts w:cstheme="minorHAnsi"/>
          <w:sz w:val="20"/>
          <w:szCs w:val="20"/>
        </w:rPr>
      </w:pPr>
      <w:r w:rsidRPr="009C52AB">
        <w:rPr>
          <w:rFonts w:cstheme="minorHAnsi"/>
          <w:sz w:val="20"/>
          <w:szCs w:val="20"/>
        </w:rPr>
        <w:t>Lebdeće plivarice u slatkovodnim staništima,</w:t>
      </w:r>
    </w:p>
    <w:p w14:paraId="2CA58645" w14:textId="77777777" w:rsidR="005A7420" w:rsidRPr="009C52AB" w:rsidRDefault="005A7420" w:rsidP="005A7420">
      <w:pPr>
        <w:pStyle w:val="NoSpacing"/>
        <w:numPr>
          <w:ilvl w:val="0"/>
          <w:numId w:val="21"/>
        </w:numPr>
        <w:ind w:left="1080" w:hanging="358"/>
        <w:jc w:val="both"/>
        <w:rPr>
          <w:rFonts w:cstheme="minorHAnsi"/>
          <w:sz w:val="20"/>
          <w:szCs w:val="20"/>
        </w:rPr>
      </w:pPr>
      <w:r w:rsidRPr="009C52AB">
        <w:rPr>
          <w:rFonts w:cstheme="minorHAnsi"/>
          <w:sz w:val="20"/>
          <w:szCs w:val="20"/>
        </w:rPr>
        <w:t>Proizvodnja, rukovanje i odlaganje radioaktivnih proizvoda,</w:t>
      </w:r>
    </w:p>
    <w:p w14:paraId="651CDB76" w14:textId="77777777" w:rsidR="005A7420" w:rsidRPr="009C52AB" w:rsidRDefault="005A7420" w:rsidP="005A7420">
      <w:pPr>
        <w:pStyle w:val="NoSpacing"/>
        <w:numPr>
          <w:ilvl w:val="0"/>
          <w:numId w:val="21"/>
        </w:numPr>
        <w:ind w:left="1080" w:hanging="358"/>
        <w:jc w:val="both"/>
        <w:rPr>
          <w:rFonts w:cstheme="minorHAnsi"/>
          <w:sz w:val="20"/>
          <w:szCs w:val="20"/>
        </w:rPr>
      </w:pPr>
      <w:r w:rsidRPr="009C52AB">
        <w:rPr>
          <w:rFonts w:cstheme="minorHAnsi"/>
          <w:sz w:val="20"/>
          <w:szCs w:val="20"/>
        </w:rPr>
        <w:t>Skladištenje, tretman i odlaganje opasnog otpada,</w:t>
      </w:r>
    </w:p>
    <w:p w14:paraId="1F1C18E8" w14:textId="77777777" w:rsidR="005A7420" w:rsidRPr="009C52AB" w:rsidRDefault="005A7420" w:rsidP="005A7420">
      <w:pPr>
        <w:pStyle w:val="NoSpacing"/>
        <w:numPr>
          <w:ilvl w:val="0"/>
          <w:numId w:val="21"/>
        </w:numPr>
        <w:ind w:left="1080" w:hanging="358"/>
        <w:jc w:val="both"/>
        <w:rPr>
          <w:rFonts w:cstheme="minorHAnsi"/>
          <w:sz w:val="20"/>
          <w:szCs w:val="20"/>
        </w:rPr>
      </w:pPr>
      <w:r w:rsidRPr="009C52AB">
        <w:rPr>
          <w:rFonts w:cstheme="minorHAnsi"/>
          <w:sz w:val="20"/>
          <w:szCs w:val="20"/>
        </w:rPr>
        <w:t>Proizvodnja opreme i uređaja koji sadrže CFC, halone i druge supstance regulisane Montrealskim protokolom,</w:t>
      </w:r>
    </w:p>
    <w:p w14:paraId="13F44A5C" w14:textId="77777777" w:rsidR="005A7420" w:rsidRPr="009C52AB" w:rsidRDefault="005A7420" w:rsidP="005A7420">
      <w:pPr>
        <w:pStyle w:val="NoSpacing"/>
        <w:numPr>
          <w:ilvl w:val="0"/>
          <w:numId w:val="21"/>
        </w:numPr>
        <w:ind w:left="1080" w:hanging="358"/>
        <w:jc w:val="both"/>
        <w:rPr>
          <w:rFonts w:cstheme="minorHAnsi"/>
          <w:sz w:val="20"/>
          <w:szCs w:val="20"/>
        </w:rPr>
      </w:pPr>
      <w:r w:rsidRPr="009C52AB">
        <w:rPr>
          <w:rFonts w:cstheme="minorHAnsi"/>
          <w:sz w:val="20"/>
          <w:szCs w:val="20"/>
        </w:rPr>
        <w:t>Proizvodnja električne opreme koja sadrži polihlorisane bifenile (PCB) više od 0,005 % po težini,</w:t>
      </w:r>
    </w:p>
    <w:p w14:paraId="1DD5693D" w14:textId="77777777" w:rsidR="005A7420" w:rsidRPr="009C52AB" w:rsidRDefault="005A7420" w:rsidP="005A7420">
      <w:pPr>
        <w:pStyle w:val="NoSpacing"/>
        <w:numPr>
          <w:ilvl w:val="0"/>
          <w:numId w:val="21"/>
        </w:numPr>
        <w:ind w:left="1080" w:hanging="358"/>
        <w:jc w:val="both"/>
        <w:rPr>
          <w:rFonts w:cstheme="minorHAnsi"/>
          <w:sz w:val="20"/>
          <w:szCs w:val="20"/>
        </w:rPr>
      </w:pPr>
      <w:r w:rsidRPr="009C52AB">
        <w:rPr>
          <w:rFonts w:cstheme="minorHAnsi"/>
          <w:sz w:val="20"/>
          <w:szCs w:val="20"/>
        </w:rPr>
        <w:t>Proizvodnja proizvoda koji sadrže azbest,</w:t>
      </w:r>
    </w:p>
    <w:p w14:paraId="1F331D62" w14:textId="77777777" w:rsidR="005A7420" w:rsidRPr="009C52AB" w:rsidRDefault="005A7420" w:rsidP="005A7420">
      <w:pPr>
        <w:pStyle w:val="NoSpacing"/>
        <w:numPr>
          <w:ilvl w:val="0"/>
          <w:numId w:val="21"/>
        </w:numPr>
        <w:ind w:left="1080" w:hanging="358"/>
        <w:jc w:val="both"/>
        <w:rPr>
          <w:rFonts w:cstheme="minorHAnsi"/>
          <w:sz w:val="20"/>
          <w:szCs w:val="20"/>
        </w:rPr>
      </w:pPr>
      <w:r w:rsidRPr="009C52AB">
        <w:rPr>
          <w:rFonts w:cstheme="minorHAnsi"/>
          <w:sz w:val="20"/>
          <w:szCs w:val="20"/>
        </w:rPr>
        <w:t>Nuklearni reaktori i njihovi delovi,</w:t>
      </w:r>
    </w:p>
    <w:p w14:paraId="06FAF260" w14:textId="77777777" w:rsidR="005A7420" w:rsidRPr="009C52AB" w:rsidRDefault="005A7420" w:rsidP="005A7420">
      <w:pPr>
        <w:pStyle w:val="NoSpacing"/>
        <w:numPr>
          <w:ilvl w:val="0"/>
          <w:numId w:val="21"/>
        </w:numPr>
        <w:ind w:left="1080" w:hanging="358"/>
        <w:jc w:val="both"/>
        <w:rPr>
          <w:rFonts w:cstheme="minorHAnsi"/>
          <w:sz w:val="20"/>
          <w:szCs w:val="20"/>
        </w:rPr>
      </w:pPr>
      <w:r w:rsidRPr="009C52AB">
        <w:rPr>
          <w:rFonts w:cstheme="minorHAnsi"/>
          <w:sz w:val="20"/>
          <w:szCs w:val="20"/>
        </w:rPr>
        <w:t>Duvan, neproizveden ili proizveden,</w:t>
      </w:r>
    </w:p>
    <w:p w14:paraId="64310212" w14:textId="77777777" w:rsidR="005A7420" w:rsidRPr="009C52AB" w:rsidRDefault="005A7420" w:rsidP="005A7420">
      <w:pPr>
        <w:pStyle w:val="NoSpacing"/>
        <w:numPr>
          <w:ilvl w:val="0"/>
          <w:numId w:val="21"/>
        </w:numPr>
        <w:ind w:left="1080" w:hanging="358"/>
        <w:jc w:val="both"/>
        <w:rPr>
          <w:rFonts w:cstheme="minorHAnsi"/>
          <w:sz w:val="20"/>
          <w:szCs w:val="20"/>
        </w:rPr>
      </w:pPr>
      <w:r w:rsidRPr="009C52AB">
        <w:rPr>
          <w:rFonts w:cstheme="minorHAnsi"/>
          <w:sz w:val="20"/>
          <w:szCs w:val="20"/>
        </w:rPr>
        <w:t>Mašine za preradu duvana, i</w:t>
      </w:r>
    </w:p>
    <w:p w14:paraId="47296B64" w14:textId="77777777" w:rsidR="005A7420" w:rsidRPr="00586DCF" w:rsidRDefault="005A7420" w:rsidP="005A7420">
      <w:pPr>
        <w:pStyle w:val="NoSpacing"/>
        <w:numPr>
          <w:ilvl w:val="0"/>
          <w:numId w:val="21"/>
        </w:numPr>
        <w:ind w:left="1080" w:hanging="358"/>
        <w:jc w:val="both"/>
        <w:rPr>
          <w:rFonts w:cstheme="minorHAnsi"/>
          <w:sz w:val="20"/>
          <w:szCs w:val="20"/>
        </w:rPr>
      </w:pPr>
      <w:r w:rsidRPr="009C52AB">
        <w:rPr>
          <w:rFonts w:cstheme="minorHAnsi"/>
          <w:sz w:val="20"/>
          <w:szCs w:val="20"/>
        </w:rPr>
        <w:t>Proizvodnja vatrenog oružja</w:t>
      </w:r>
      <w:r w:rsidRPr="00586DCF">
        <w:rPr>
          <w:rFonts w:cstheme="minorHAnsi"/>
          <w:sz w:val="20"/>
          <w:szCs w:val="20"/>
        </w:rPr>
        <w:t>.</w:t>
      </w:r>
    </w:p>
    <w:p w14:paraId="1B09C907" w14:textId="77777777" w:rsidR="005A7420" w:rsidRPr="00586DCF" w:rsidRDefault="005A7420" w:rsidP="005A7420">
      <w:pPr>
        <w:jc w:val="both"/>
        <w:rPr>
          <w:rFonts w:cs="Calibri"/>
          <w:sz w:val="20"/>
          <w:szCs w:val="20"/>
        </w:rPr>
      </w:pPr>
    </w:p>
    <w:p w14:paraId="6171C205" w14:textId="77777777" w:rsidR="005A7420" w:rsidRPr="00586DCF" w:rsidRDefault="005A7420" w:rsidP="001C59B7">
      <w:pPr>
        <w:pStyle w:val="Heading2"/>
      </w:pPr>
      <w:bookmarkStart w:id="10" w:name="_Toc101439443"/>
      <w:r>
        <w:t>VREMENSKI OKVIR I BUDŽET</w:t>
      </w:r>
      <w:bookmarkEnd w:id="10"/>
    </w:p>
    <w:p w14:paraId="642D27A9" w14:textId="77777777" w:rsidR="005A7420" w:rsidRPr="00586DCF" w:rsidRDefault="005A7420" w:rsidP="005A7420">
      <w:pPr>
        <w:jc w:val="both"/>
        <w:rPr>
          <w:sz w:val="20"/>
          <w:szCs w:val="20"/>
        </w:rPr>
      </w:pPr>
      <w:r w:rsidRPr="009C52AB">
        <w:rPr>
          <w:sz w:val="20"/>
          <w:szCs w:val="20"/>
        </w:rPr>
        <w:t xml:space="preserve">Neformalne grupe mladih imaće pravo da se prijave za finansiranje u periodu od 3-6 meseci u zavisnosti od vrste usluge/aktivnosti. Minimalni budžet za finansiranje iz ovog poziva za jedan grant je </w:t>
      </w:r>
      <w:r w:rsidRPr="001C59B7">
        <w:rPr>
          <w:sz w:val="20"/>
          <w:szCs w:val="20"/>
        </w:rPr>
        <w:t>1000 američkih dolara, dok maksimalni budžet koji se traži za finansiranje iz ovog poziva za jedan grant ne bi trebao biti veći od 4000 američkih dolara.</w:t>
      </w:r>
    </w:p>
    <w:p w14:paraId="3357632D" w14:textId="77777777" w:rsidR="005A7420" w:rsidRPr="00586DCF" w:rsidRDefault="005A7420" w:rsidP="005A7420">
      <w:pPr>
        <w:jc w:val="both"/>
        <w:rPr>
          <w:sz w:val="20"/>
          <w:szCs w:val="20"/>
        </w:rPr>
      </w:pPr>
    </w:p>
    <w:p w14:paraId="3A847496" w14:textId="77777777" w:rsidR="005A7420" w:rsidRPr="00586DCF" w:rsidRDefault="005A7420" w:rsidP="005A7420">
      <w:pPr>
        <w:jc w:val="both"/>
        <w:rPr>
          <w:sz w:val="20"/>
          <w:szCs w:val="20"/>
        </w:rPr>
      </w:pPr>
    </w:p>
    <w:p w14:paraId="3C5E4F8E" w14:textId="77777777" w:rsidR="005A7420" w:rsidRPr="00586DCF" w:rsidRDefault="005A7420" w:rsidP="005A7420">
      <w:pPr>
        <w:jc w:val="both"/>
        <w:rPr>
          <w:sz w:val="20"/>
          <w:szCs w:val="20"/>
        </w:rPr>
      </w:pPr>
    </w:p>
    <w:p w14:paraId="091EDCF8" w14:textId="77777777" w:rsidR="005A7420" w:rsidRPr="00586DCF" w:rsidRDefault="005A7420" w:rsidP="005A7420">
      <w:pPr>
        <w:jc w:val="both"/>
        <w:rPr>
          <w:sz w:val="20"/>
          <w:szCs w:val="20"/>
        </w:rPr>
      </w:pPr>
    </w:p>
    <w:p w14:paraId="000FDC88" w14:textId="77777777" w:rsidR="005A7420" w:rsidRPr="00586DCF" w:rsidRDefault="005A7420" w:rsidP="001C59B7">
      <w:pPr>
        <w:pStyle w:val="Heading1"/>
      </w:pPr>
      <w:bookmarkStart w:id="11" w:name="_Toc101439444"/>
      <w:r w:rsidRPr="009C52AB">
        <w:t>POTGRANTOVI ZAJEDNICE ZA MLADE ODRASLE</w:t>
      </w:r>
      <w:bookmarkEnd w:id="11"/>
      <w:r w:rsidRPr="00586DCF">
        <w:t xml:space="preserve"> </w:t>
      </w:r>
    </w:p>
    <w:p w14:paraId="7B8BF6FD" w14:textId="77777777" w:rsidR="005A7420" w:rsidRPr="00586DCF" w:rsidRDefault="005A7420" w:rsidP="005A7420">
      <w:pPr>
        <w:spacing w:line="200" w:lineRule="exact"/>
        <w:jc w:val="both"/>
        <w:rPr>
          <w:rFonts w:cstheme="minorHAnsi"/>
          <w:b/>
          <w:i/>
          <w:iCs/>
          <w:sz w:val="20"/>
          <w:szCs w:val="20"/>
        </w:rPr>
      </w:pPr>
      <w:r>
        <w:rPr>
          <w:rFonts w:cstheme="minorHAnsi"/>
          <w:b/>
          <w:i/>
          <w:iCs/>
          <w:sz w:val="20"/>
          <w:szCs w:val="20"/>
        </w:rPr>
        <w:t>Karakteristike podgranta</w:t>
      </w:r>
      <w:r w:rsidRPr="00586DCF">
        <w:rPr>
          <w:rFonts w:cstheme="minorHAnsi"/>
          <w:b/>
          <w:i/>
          <w:iCs/>
          <w:sz w:val="20"/>
          <w:szCs w:val="20"/>
        </w:rPr>
        <w:t xml:space="preserve"> </w:t>
      </w:r>
    </w:p>
    <w:p w14:paraId="438F40D9" w14:textId="77777777" w:rsidR="005A7420" w:rsidRPr="001C59B7" w:rsidRDefault="005A7420" w:rsidP="001C59B7">
      <w:pPr>
        <w:pStyle w:val="Heading2"/>
      </w:pPr>
      <w:bookmarkStart w:id="12" w:name="_Toc101439445"/>
      <w:r w:rsidRPr="001C59B7">
        <w:t>KO SE MOŽE PRIJAVITI?</w:t>
      </w:r>
      <w:bookmarkEnd w:id="12"/>
    </w:p>
    <w:p w14:paraId="69B78C89" w14:textId="77777777" w:rsidR="005A7420" w:rsidRPr="00586DCF" w:rsidRDefault="005A7420" w:rsidP="005A7420">
      <w:pPr>
        <w:pStyle w:val="Normal11"/>
        <w:spacing w:after="0" w:line="240" w:lineRule="auto"/>
        <w:contextualSpacing/>
        <w:jc w:val="both"/>
        <w:rPr>
          <w:rFonts w:cstheme="minorHAnsi"/>
          <w:b/>
          <w:bCs/>
          <w:sz w:val="20"/>
          <w:szCs w:val="20"/>
        </w:rPr>
      </w:pPr>
    </w:p>
    <w:p w14:paraId="41975D74" w14:textId="77777777" w:rsidR="005A7420" w:rsidRPr="00586DCF" w:rsidRDefault="005A7420" w:rsidP="005A7420">
      <w:pPr>
        <w:pStyle w:val="Normal11"/>
        <w:numPr>
          <w:ilvl w:val="1"/>
          <w:numId w:val="10"/>
        </w:numPr>
        <w:spacing w:after="0" w:line="240" w:lineRule="auto"/>
        <w:ind w:left="360"/>
        <w:contextualSpacing/>
        <w:jc w:val="both"/>
        <w:rPr>
          <w:rFonts w:cstheme="minorHAnsi"/>
          <w:i/>
          <w:iCs/>
          <w:sz w:val="20"/>
          <w:szCs w:val="20"/>
        </w:rPr>
      </w:pPr>
      <w:r w:rsidRPr="001E72EA">
        <w:rPr>
          <w:rFonts w:cstheme="minorHAnsi"/>
          <w:i/>
          <w:iCs/>
          <w:sz w:val="20"/>
          <w:szCs w:val="20"/>
        </w:rPr>
        <w:t xml:space="preserve">Neformalne grupe mladih: </w:t>
      </w:r>
      <w:r w:rsidRPr="001E72EA">
        <w:rPr>
          <w:rFonts w:cstheme="minorHAnsi"/>
          <w:iCs/>
          <w:sz w:val="20"/>
          <w:szCs w:val="20"/>
        </w:rPr>
        <w:t xml:space="preserve">Kao deo obuke o mekim veštinama, mladim korisnicima će biti omogućeno formiranje potprojektnih grupa. Grupe će se sastojati od mladih odraslih (18-24) organizovanih oko zajedničkih interesa, ličnih preferencija i željenih društvenih uticaja. Neformalne grupe koordiniraju omladinski lideri koje bira grupa. </w:t>
      </w:r>
      <w:r w:rsidRPr="001E72EA">
        <w:rPr>
          <w:rFonts w:cstheme="minorHAnsi"/>
          <w:b/>
          <w:iCs/>
          <w:sz w:val="20"/>
          <w:szCs w:val="20"/>
        </w:rPr>
        <w:t>Neformalne grupe mladih imaju pravo da se prijave za podgrantove  za tinejdžere ili mlade odrasle osobe na osnovu njihove odgovarajuće dobi</w:t>
      </w:r>
      <w:r w:rsidRPr="001E72EA">
        <w:rPr>
          <w:rFonts w:cstheme="minorHAnsi"/>
          <w:b/>
          <w:bCs/>
          <w:sz w:val="20"/>
          <w:szCs w:val="20"/>
        </w:rPr>
        <w:t>.</w:t>
      </w:r>
    </w:p>
    <w:p w14:paraId="66E90461" w14:textId="77777777" w:rsidR="005A7420" w:rsidRPr="00586DCF" w:rsidRDefault="005A7420" w:rsidP="005A7420">
      <w:pPr>
        <w:pStyle w:val="Normal11"/>
        <w:spacing w:after="0" w:line="240" w:lineRule="auto"/>
        <w:ind w:left="360"/>
        <w:contextualSpacing/>
        <w:jc w:val="both"/>
        <w:rPr>
          <w:rFonts w:cstheme="minorHAnsi"/>
          <w:i/>
          <w:iCs/>
          <w:sz w:val="20"/>
          <w:szCs w:val="20"/>
        </w:rPr>
      </w:pPr>
    </w:p>
    <w:p w14:paraId="1459E3E5" w14:textId="77777777" w:rsidR="005A7420" w:rsidRPr="00586DCF" w:rsidRDefault="005A7420" w:rsidP="005A7420">
      <w:pPr>
        <w:pStyle w:val="ListParagraph"/>
        <w:numPr>
          <w:ilvl w:val="1"/>
          <w:numId w:val="10"/>
        </w:numPr>
        <w:ind w:left="360"/>
        <w:rPr>
          <w:rFonts w:asciiTheme="minorHAnsi" w:hAnsiTheme="minorHAnsi"/>
          <w:sz w:val="20"/>
          <w:szCs w:val="20"/>
        </w:rPr>
      </w:pPr>
      <w:r w:rsidRPr="001E72EA">
        <w:rPr>
          <w:rFonts w:asciiTheme="minorHAnsi" w:hAnsiTheme="minorHAnsi" w:cstheme="minorHAnsi"/>
          <w:i/>
          <w:iCs/>
          <w:sz w:val="20"/>
          <w:szCs w:val="20"/>
        </w:rPr>
        <w:t>Formalne omladinske organizacije u zajednici</w:t>
      </w:r>
      <w:r w:rsidRPr="00586DCF">
        <w:rPr>
          <w:rFonts w:asciiTheme="minorHAnsi" w:hAnsiTheme="minorHAnsi" w:cstheme="minorHAnsi"/>
          <w:i/>
          <w:iCs/>
          <w:sz w:val="20"/>
          <w:szCs w:val="20"/>
        </w:rPr>
        <w:t xml:space="preserve">: </w:t>
      </w:r>
      <w:r w:rsidRPr="001E72EA">
        <w:rPr>
          <w:rFonts w:asciiTheme="minorHAnsi" w:hAnsiTheme="minorHAnsi" w:cstheme="minorHAnsi"/>
          <w:sz w:val="20"/>
          <w:szCs w:val="20"/>
        </w:rPr>
        <w:t xml:space="preserve">Mladi učesnici koji su deo postojećih omladinskih CBO-ova mogu podneti predlog potprojekta u ime svojih/partnerskih CBO-ova. Kvalifikovani CBO-ovi moraju brinuti o mladoj populaciji I imati mlade odrasle osobe (18-24) u rukodovstvu CBO-a. Strani CBO-ovi nisu podobni. “Formalno” znači da je CBO registrovan u javnom registru NVO Kosova. </w:t>
      </w:r>
      <w:r w:rsidRPr="001E72EA">
        <w:rPr>
          <w:rFonts w:asciiTheme="minorHAnsi" w:hAnsiTheme="minorHAnsi" w:cstheme="minorHAnsi"/>
          <w:b/>
          <w:sz w:val="20"/>
          <w:szCs w:val="20"/>
        </w:rPr>
        <w:t>Formalni omladinski CBO-ovi imaju pravo da se prijave samo za podgrantove mladih odraslih</w:t>
      </w:r>
      <w:r>
        <w:rPr>
          <w:rFonts w:asciiTheme="minorHAnsi" w:hAnsiTheme="minorHAnsi" w:cstheme="minorHAnsi"/>
          <w:b/>
          <w:bCs/>
          <w:sz w:val="20"/>
          <w:szCs w:val="20"/>
        </w:rPr>
        <w:t>.</w:t>
      </w:r>
      <w:r w:rsidRPr="00586DCF">
        <w:rPr>
          <w:rFonts w:asciiTheme="minorHAnsi" w:hAnsiTheme="minorHAnsi" w:cstheme="minorHAnsi"/>
          <w:b/>
          <w:bCs/>
          <w:sz w:val="20"/>
          <w:szCs w:val="20"/>
        </w:rPr>
        <w:t xml:space="preserve"> </w:t>
      </w:r>
    </w:p>
    <w:p w14:paraId="578875D2" w14:textId="77777777" w:rsidR="005A7420" w:rsidRPr="00586DCF" w:rsidRDefault="005A7420" w:rsidP="005A7420">
      <w:pPr>
        <w:pStyle w:val="ListParagraph"/>
        <w:rPr>
          <w:rFonts w:asciiTheme="minorHAnsi" w:hAnsiTheme="minorHAnsi"/>
          <w:sz w:val="20"/>
          <w:szCs w:val="20"/>
        </w:rPr>
      </w:pPr>
    </w:p>
    <w:p w14:paraId="291CEAE2" w14:textId="77777777" w:rsidR="005A7420" w:rsidRPr="00586DCF" w:rsidRDefault="005A7420" w:rsidP="005A7420">
      <w:pPr>
        <w:jc w:val="both"/>
        <w:rPr>
          <w:sz w:val="20"/>
          <w:szCs w:val="20"/>
        </w:rPr>
      </w:pPr>
      <w:r w:rsidRPr="001E72EA">
        <w:rPr>
          <w:rFonts w:cs="Calibri"/>
          <w:sz w:val="20"/>
          <w:szCs w:val="20"/>
        </w:rPr>
        <w:t>Predloge projekata mora podneti grupa mladih odraslih od 18 do 24 godine, bilo kao grupa pojedinaca ili kao organizacije u zajednici koje vode mladi. Starosna granica za potrante zajednice za mlade odrasle je obavezna</w:t>
      </w:r>
      <w:r w:rsidRPr="00586DCF">
        <w:rPr>
          <w:rFonts w:cs="Calibri"/>
          <w:sz w:val="20"/>
          <w:szCs w:val="20"/>
        </w:rPr>
        <w:t xml:space="preserve">.  </w:t>
      </w:r>
    </w:p>
    <w:p w14:paraId="556BA1AA" w14:textId="77777777" w:rsidR="005A7420" w:rsidRPr="001C59B7" w:rsidRDefault="005A7420" w:rsidP="001C59B7">
      <w:pPr>
        <w:pStyle w:val="Heading2"/>
      </w:pPr>
      <w:bookmarkStart w:id="13" w:name="_Toc101439446"/>
      <w:r w:rsidRPr="001C59B7">
        <w:t>PRIHVATLJIVOST PODGRANTA I KRITERIJUMI ZA IZBOR</w:t>
      </w:r>
      <w:bookmarkEnd w:id="13"/>
    </w:p>
    <w:p w14:paraId="1D25CE20" w14:textId="77777777" w:rsidR="005A7420" w:rsidRPr="00586DCF" w:rsidRDefault="005A7420" w:rsidP="005A7420">
      <w:pPr>
        <w:pStyle w:val="Normal11"/>
        <w:spacing w:after="0" w:line="240" w:lineRule="auto"/>
        <w:contextualSpacing/>
        <w:jc w:val="both"/>
        <w:rPr>
          <w:rFonts w:cstheme="minorHAnsi"/>
          <w:bCs/>
          <w:sz w:val="20"/>
          <w:szCs w:val="20"/>
        </w:rPr>
      </w:pPr>
    </w:p>
    <w:p w14:paraId="4E617385" w14:textId="77777777" w:rsidR="005A7420" w:rsidRPr="00586DCF" w:rsidRDefault="005A7420" w:rsidP="005A7420">
      <w:pPr>
        <w:pStyle w:val="Normal11"/>
        <w:spacing w:after="0" w:line="240" w:lineRule="auto"/>
        <w:contextualSpacing/>
        <w:jc w:val="both"/>
        <w:rPr>
          <w:rFonts w:cstheme="minorHAnsi"/>
          <w:bCs/>
          <w:sz w:val="20"/>
          <w:szCs w:val="20"/>
        </w:rPr>
      </w:pPr>
      <w:r w:rsidRPr="001E72EA">
        <w:rPr>
          <w:rFonts w:cstheme="minorHAnsi"/>
          <w:bCs/>
          <w:sz w:val="20"/>
          <w:szCs w:val="20"/>
        </w:rPr>
        <w:t>Predlozi za podgrantove zajednice moraju ispunjavati tri skupa kriterijuma prihvatljivosti navedenih u nastavku</w:t>
      </w:r>
      <w:r w:rsidRPr="00586DCF">
        <w:rPr>
          <w:rFonts w:cstheme="minorHAnsi"/>
          <w:bCs/>
          <w:sz w:val="20"/>
          <w:szCs w:val="20"/>
        </w:rPr>
        <w:t xml:space="preserve">.  </w:t>
      </w:r>
    </w:p>
    <w:p w14:paraId="0B99A39D" w14:textId="77777777" w:rsidR="005A7420" w:rsidRPr="00586DCF" w:rsidRDefault="005A7420" w:rsidP="005A7420">
      <w:pPr>
        <w:pStyle w:val="Normal11"/>
        <w:spacing w:after="0" w:line="240" w:lineRule="auto"/>
        <w:contextualSpacing/>
        <w:jc w:val="both"/>
        <w:rPr>
          <w:rFonts w:cstheme="minorHAnsi"/>
          <w:bCs/>
          <w:sz w:val="20"/>
          <w:szCs w:val="20"/>
        </w:rPr>
      </w:pPr>
    </w:p>
    <w:p w14:paraId="20267FE6" w14:textId="77777777" w:rsidR="005A7420" w:rsidRPr="00586DCF" w:rsidRDefault="005A7420" w:rsidP="005A7420">
      <w:pPr>
        <w:pStyle w:val="Subsub-heading"/>
        <w:numPr>
          <w:ilvl w:val="0"/>
          <w:numId w:val="0"/>
        </w:numPr>
      </w:pPr>
      <w:bookmarkStart w:id="14" w:name="_Toc101439447"/>
      <w:r w:rsidRPr="001E72EA">
        <w:t>Preduslovi za podnosioce zahteva za podgrantove</w:t>
      </w:r>
      <w:bookmarkEnd w:id="14"/>
    </w:p>
    <w:p w14:paraId="0005676F" w14:textId="77777777" w:rsidR="005A7420" w:rsidRPr="00586DCF" w:rsidRDefault="005A7420" w:rsidP="005A7420">
      <w:pPr>
        <w:rPr>
          <w:rFonts w:cstheme="minorHAnsi"/>
          <w:bCs/>
          <w:sz w:val="20"/>
          <w:szCs w:val="20"/>
        </w:rPr>
      </w:pPr>
      <w:r w:rsidRPr="001E72EA">
        <w:rPr>
          <w:rFonts w:cstheme="minorHAnsi"/>
          <w:bCs/>
          <w:i/>
          <w:iCs/>
          <w:sz w:val="20"/>
          <w:szCs w:val="20"/>
        </w:rPr>
        <w:t>Neformalne omladinske grupe i formalni omladinski CBO-ovi</w:t>
      </w:r>
      <w:r w:rsidRPr="00586DCF">
        <w:rPr>
          <w:rFonts w:cstheme="minorHAnsi"/>
          <w:bCs/>
          <w:sz w:val="20"/>
          <w:szCs w:val="20"/>
        </w:rPr>
        <w:t>:</w:t>
      </w:r>
    </w:p>
    <w:p w14:paraId="6A5DCEBC" w14:textId="77777777" w:rsidR="005A7420" w:rsidRPr="001E72EA" w:rsidRDefault="005A7420" w:rsidP="005A7420">
      <w:pPr>
        <w:pStyle w:val="ListParagraph"/>
        <w:widowControl w:val="0"/>
        <w:numPr>
          <w:ilvl w:val="0"/>
          <w:numId w:val="12"/>
        </w:numPr>
        <w:autoSpaceDE w:val="0"/>
        <w:autoSpaceDN w:val="0"/>
        <w:adjustRightInd w:val="0"/>
        <w:spacing w:line="240" w:lineRule="auto"/>
        <w:rPr>
          <w:rFonts w:asciiTheme="minorHAnsi" w:eastAsiaTheme="minorHAnsi" w:hAnsiTheme="minorHAnsi" w:cstheme="minorHAnsi"/>
          <w:bCs/>
          <w:sz w:val="20"/>
          <w:szCs w:val="20"/>
        </w:rPr>
      </w:pPr>
      <w:r w:rsidRPr="001E72EA">
        <w:rPr>
          <w:rFonts w:asciiTheme="minorHAnsi" w:eastAsiaTheme="minorHAnsi" w:hAnsiTheme="minorHAnsi" w:cstheme="minorHAnsi"/>
          <w:bCs/>
          <w:sz w:val="20"/>
          <w:szCs w:val="20"/>
        </w:rPr>
        <w:t>Kandidati moraju biti u starosnoj grupi 18-24 da bi se prijavili za podgrantove za mlade odrasle osobe.</w:t>
      </w:r>
    </w:p>
    <w:p w14:paraId="2BD0F218" w14:textId="77777777" w:rsidR="005A7420" w:rsidRPr="001E72EA" w:rsidRDefault="005A7420" w:rsidP="005A7420">
      <w:pPr>
        <w:pStyle w:val="ListParagraph"/>
        <w:widowControl w:val="0"/>
        <w:numPr>
          <w:ilvl w:val="0"/>
          <w:numId w:val="12"/>
        </w:numPr>
        <w:autoSpaceDE w:val="0"/>
        <w:autoSpaceDN w:val="0"/>
        <w:adjustRightInd w:val="0"/>
        <w:spacing w:line="240" w:lineRule="auto"/>
        <w:rPr>
          <w:rFonts w:asciiTheme="minorHAnsi" w:eastAsiaTheme="minorHAnsi" w:hAnsiTheme="minorHAnsi" w:cstheme="minorHAnsi"/>
          <w:bCs/>
          <w:sz w:val="20"/>
          <w:szCs w:val="20"/>
        </w:rPr>
      </w:pPr>
      <w:r w:rsidRPr="001E72EA">
        <w:rPr>
          <w:rFonts w:asciiTheme="minorHAnsi" w:eastAsiaTheme="minorHAnsi" w:hAnsiTheme="minorHAnsi" w:cstheme="minorHAnsi"/>
          <w:bCs/>
          <w:sz w:val="20"/>
          <w:szCs w:val="20"/>
        </w:rPr>
        <w:t>Podnosioci prijava imaju prebivalište/sedište u jednoj od opština koje učestvuju u projektu. U slučaju CBO-ova, računa se formalna adresa CBO-a, a ne kućna adresa predstavnika CBO-a.</w:t>
      </w:r>
    </w:p>
    <w:p w14:paraId="09E4445C" w14:textId="77777777" w:rsidR="005A7420" w:rsidRPr="001E72EA" w:rsidRDefault="005A7420" w:rsidP="005A7420">
      <w:pPr>
        <w:pStyle w:val="ListParagraph"/>
        <w:widowControl w:val="0"/>
        <w:numPr>
          <w:ilvl w:val="0"/>
          <w:numId w:val="12"/>
        </w:numPr>
        <w:autoSpaceDE w:val="0"/>
        <w:autoSpaceDN w:val="0"/>
        <w:adjustRightInd w:val="0"/>
        <w:spacing w:line="240" w:lineRule="auto"/>
        <w:rPr>
          <w:rFonts w:asciiTheme="minorHAnsi" w:eastAsiaTheme="minorHAnsi" w:hAnsiTheme="minorHAnsi" w:cstheme="minorHAnsi"/>
          <w:bCs/>
          <w:sz w:val="20"/>
          <w:szCs w:val="20"/>
        </w:rPr>
      </w:pPr>
      <w:r w:rsidRPr="001E72EA">
        <w:rPr>
          <w:rFonts w:asciiTheme="minorHAnsi" w:eastAsiaTheme="minorHAnsi" w:hAnsiTheme="minorHAnsi" w:cstheme="minorHAnsi"/>
          <w:bCs/>
          <w:sz w:val="20"/>
          <w:szCs w:val="20"/>
        </w:rPr>
        <w:t>Prednost će imati kandidati koji su uspešno završili obuku za meke veštine i upravljanje projektima u okviru komponente 2. Uspešan završetak obuke definiše se kao pohađanje najmanje 80% svih aktivnosti koje evidentira FP-NVO.</w:t>
      </w:r>
    </w:p>
    <w:p w14:paraId="151F3565" w14:textId="77777777" w:rsidR="005A7420" w:rsidRPr="00586DCF" w:rsidRDefault="005A7420" w:rsidP="005A7420">
      <w:pPr>
        <w:pStyle w:val="ListParagraph"/>
        <w:widowControl w:val="0"/>
        <w:numPr>
          <w:ilvl w:val="0"/>
          <w:numId w:val="12"/>
        </w:numPr>
        <w:autoSpaceDE w:val="0"/>
        <w:autoSpaceDN w:val="0"/>
        <w:adjustRightInd w:val="0"/>
        <w:spacing w:line="240" w:lineRule="auto"/>
        <w:jc w:val="left"/>
        <w:rPr>
          <w:rFonts w:asciiTheme="minorHAnsi" w:eastAsiaTheme="minorHAnsi" w:hAnsiTheme="minorHAnsi" w:cstheme="minorHAnsi"/>
          <w:bCs/>
          <w:sz w:val="20"/>
          <w:szCs w:val="20"/>
        </w:rPr>
      </w:pPr>
      <w:r w:rsidRPr="001E72EA">
        <w:rPr>
          <w:rFonts w:asciiTheme="minorHAnsi" w:eastAsiaTheme="minorHAnsi" w:hAnsiTheme="minorHAnsi" w:cstheme="minorHAnsi"/>
          <w:bCs/>
          <w:sz w:val="20"/>
          <w:szCs w:val="20"/>
        </w:rPr>
        <w:t>Mladi koji nisu završili obuku za upravljanje projektima M4Y moraju pružiti dokaze o veštinama upravljanja projektima stečenim na drugom mestu</w:t>
      </w:r>
      <w:r w:rsidRPr="00586DCF">
        <w:rPr>
          <w:rFonts w:asciiTheme="minorHAnsi" w:eastAsiaTheme="minorHAnsi" w:hAnsiTheme="minorHAnsi" w:cstheme="minorHAnsi"/>
          <w:bCs/>
          <w:sz w:val="20"/>
          <w:szCs w:val="20"/>
        </w:rPr>
        <w:t xml:space="preserve">. </w:t>
      </w:r>
    </w:p>
    <w:p w14:paraId="69503177" w14:textId="77777777" w:rsidR="005A7420" w:rsidRPr="00586DCF" w:rsidRDefault="005A7420" w:rsidP="005A7420">
      <w:pPr>
        <w:rPr>
          <w:rFonts w:cstheme="minorHAnsi"/>
          <w:bCs/>
          <w:sz w:val="20"/>
          <w:szCs w:val="20"/>
        </w:rPr>
      </w:pPr>
    </w:p>
    <w:p w14:paraId="448690E6" w14:textId="77777777" w:rsidR="005A7420" w:rsidRPr="00586DCF" w:rsidRDefault="005A7420" w:rsidP="005A7420">
      <w:pPr>
        <w:rPr>
          <w:rFonts w:cstheme="minorHAnsi"/>
          <w:b/>
          <w:bCs/>
          <w:sz w:val="20"/>
          <w:szCs w:val="20"/>
        </w:rPr>
      </w:pPr>
      <w:r w:rsidRPr="001E72EA">
        <w:rPr>
          <w:rFonts w:cstheme="minorHAnsi"/>
          <w:b/>
          <w:bCs/>
          <w:i/>
          <w:iCs/>
          <w:sz w:val="20"/>
          <w:szCs w:val="20"/>
        </w:rPr>
        <w:t>Formalni omladinski CBO-ovi</w:t>
      </w:r>
      <w:r w:rsidRPr="00586DCF">
        <w:rPr>
          <w:rFonts w:cstheme="minorHAnsi"/>
          <w:b/>
          <w:bCs/>
          <w:sz w:val="20"/>
          <w:szCs w:val="20"/>
        </w:rPr>
        <w:t xml:space="preserve">: </w:t>
      </w:r>
    </w:p>
    <w:p w14:paraId="7971AC41" w14:textId="77777777" w:rsidR="005A7420" w:rsidRPr="001E72EA" w:rsidRDefault="005A7420" w:rsidP="005A7420">
      <w:pPr>
        <w:pStyle w:val="ListParagraph"/>
        <w:widowControl w:val="0"/>
        <w:numPr>
          <w:ilvl w:val="0"/>
          <w:numId w:val="12"/>
        </w:numPr>
        <w:autoSpaceDE w:val="0"/>
        <w:autoSpaceDN w:val="0"/>
        <w:adjustRightInd w:val="0"/>
        <w:spacing w:line="240" w:lineRule="auto"/>
        <w:rPr>
          <w:rFonts w:asciiTheme="minorHAnsi" w:eastAsiaTheme="minorHAnsi" w:hAnsiTheme="minorHAnsi" w:cstheme="minorHAnsi"/>
          <w:bCs/>
          <w:sz w:val="20"/>
          <w:szCs w:val="20"/>
        </w:rPr>
      </w:pPr>
      <w:r w:rsidRPr="001E72EA">
        <w:rPr>
          <w:rFonts w:asciiTheme="minorHAnsi" w:eastAsiaTheme="minorHAnsi" w:hAnsiTheme="minorHAnsi" w:cstheme="minorHAnsi"/>
          <w:bCs/>
          <w:sz w:val="20"/>
          <w:szCs w:val="20"/>
        </w:rPr>
        <w:t>CBO-ovi su pravno konstituisane kao nevladine organizacije na Kosovu. Da bi dokazao ovu tvrdnju, CBO mora dostaviti kopiju potvrde o registraciji i fiskalni broj.</w:t>
      </w:r>
    </w:p>
    <w:p w14:paraId="18EA3E9D" w14:textId="77777777" w:rsidR="005A7420" w:rsidRPr="001E72EA" w:rsidRDefault="005A7420" w:rsidP="005A7420">
      <w:pPr>
        <w:pStyle w:val="ListParagraph"/>
        <w:widowControl w:val="0"/>
        <w:numPr>
          <w:ilvl w:val="0"/>
          <w:numId w:val="12"/>
        </w:numPr>
        <w:autoSpaceDE w:val="0"/>
        <w:autoSpaceDN w:val="0"/>
        <w:adjustRightInd w:val="0"/>
        <w:spacing w:line="240" w:lineRule="auto"/>
        <w:rPr>
          <w:rFonts w:asciiTheme="minorHAnsi" w:eastAsiaTheme="minorHAnsi" w:hAnsiTheme="minorHAnsi" w:cstheme="minorHAnsi"/>
          <w:bCs/>
          <w:sz w:val="20"/>
          <w:szCs w:val="20"/>
        </w:rPr>
      </w:pPr>
      <w:r w:rsidRPr="001E72EA">
        <w:rPr>
          <w:rFonts w:asciiTheme="minorHAnsi" w:eastAsiaTheme="minorHAnsi" w:hAnsiTheme="minorHAnsi" w:cstheme="minorHAnsi"/>
          <w:bCs/>
          <w:sz w:val="20"/>
          <w:szCs w:val="20"/>
        </w:rPr>
        <w:t>CBO mora imati evidenciju o sprovođenju aktivnosti za mlade (15-24) kao što je dokumentovano sa liste prethodnih projekata.</w:t>
      </w:r>
    </w:p>
    <w:p w14:paraId="6D70D065" w14:textId="77777777" w:rsidR="005A7420" w:rsidRPr="001E72EA" w:rsidRDefault="005A7420" w:rsidP="005A7420">
      <w:pPr>
        <w:pStyle w:val="ListParagraph"/>
        <w:widowControl w:val="0"/>
        <w:numPr>
          <w:ilvl w:val="0"/>
          <w:numId w:val="12"/>
        </w:numPr>
        <w:autoSpaceDE w:val="0"/>
        <w:autoSpaceDN w:val="0"/>
        <w:adjustRightInd w:val="0"/>
        <w:spacing w:line="240" w:lineRule="auto"/>
        <w:rPr>
          <w:rFonts w:asciiTheme="minorHAnsi" w:eastAsiaTheme="minorHAnsi" w:hAnsiTheme="minorHAnsi" w:cstheme="minorHAnsi"/>
          <w:bCs/>
          <w:sz w:val="20"/>
          <w:szCs w:val="20"/>
        </w:rPr>
      </w:pPr>
      <w:r w:rsidRPr="001E72EA">
        <w:rPr>
          <w:rFonts w:asciiTheme="minorHAnsi" w:eastAsiaTheme="minorHAnsi" w:hAnsiTheme="minorHAnsi" w:cstheme="minorHAnsi"/>
          <w:bCs/>
          <w:sz w:val="20"/>
          <w:szCs w:val="20"/>
        </w:rPr>
        <w:t>Rukovodstvo CBO-a se sastoji od mladih (18-24) kao što je pokazano kroz  CV-ove članova rukovostva CBO-a.</w:t>
      </w:r>
    </w:p>
    <w:p w14:paraId="1BF797D9" w14:textId="77777777" w:rsidR="005A7420" w:rsidRPr="00586DCF" w:rsidRDefault="005A7420" w:rsidP="005A7420">
      <w:pPr>
        <w:pStyle w:val="ListParagraph"/>
        <w:widowControl w:val="0"/>
        <w:numPr>
          <w:ilvl w:val="0"/>
          <w:numId w:val="12"/>
        </w:numPr>
        <w:autoSpaceDE w:val="0"/>
        <w:autoSpaceDN w:val="0"/>
        <w:adjustRightInd w:val="0"/>
        <w:spacing w:line="240" w:lineRule="auto"/>
        <w:rPr>
          <w:rFonts w:asciiTheme="minorHAnsi" w:hAnsiTheme="minorHAnsi"/>
          <w:sz w:val="20"/>
          <w:szCs w:val="20"/>
        </w:rPr>
      </w:pPr>
      <w:r w:rsidRPr="001E72EA">
        <w:rPr>
          <w:rFonts w:asciiTheme="minorHAnsi" w:eastAsiaTheme="minorHAnsi" w:hAnsiTheme="minorHAnsi" w:cstheme="minorHAnsi"/>
          <w:bCs/>
          <w:sz w:val="20"/>
          <w:szCs w:val="20"/>
        </w:rPr>
        <w:t>CBO mora pokazati iskustvo upravljanja projektima kroz završene projekte zajednice</w:t>
      </w:r>
      <w:r w:rsidRPr="00586DCF">
        <w:rPr>
          <w:rFonts w:asciiTheme="minorHAnsi" w:hAnsiTheme="minorHAnsi"/>
          <w:sz w:val="20"/>
          <w:szCs w:val="20"/>
        </w:rPr>
        <w:t xml:space="preserve">. </w:t>
      </w:r>
    </w:p>
    <w:p w14:paraId="04891BB4" w14:textId="77777777" w:rsidR="005A7420" w:rsidRPr="00586DCF" w:rsidRDefault="005A7420" w:rsidP="005A7420">
      <w:pPr>
        <w:rPr>
          <w:sz w:val="20"/>
          <w:szCs w:val="20"/>
        </w:rPr>
      </w:pPr>
    </w:p>
    <w:p w14:paraId="1AF880E4" w14:textId="77777777" w:rsidR="005A7420" w:rsidRPr="00586DCF" w:rsidRDefault="005A7420" w:rsidP="005A7420">
      <w:pPr>
        <w:rPr>
          <w:sz w:val="20"/>
          <w:szCs w:val="20"/>
        </w:rPr>
      </w:pPr>
    </w:p>
    <w:p w14:paraId="4A755CA8" w14:textId="77777777" w:rsidR="005A7420" w:rsidRPr="00586DCF" w:rsidRDefault="005A7420" w:rsidP="001C59B7">
      <w:pPr>
        <w:pStyle w:val="Heading2"/>
      </w:pPr>
      <w:bookmarkStart w:id="15" w:name="_Toc101439448"/>
      <w:r w:rsidRPr="001E72EA">
        <w:lastRenderedPageBreak/>
        <w:t>PRIHVATLJIVOST AKTIVNOSTI PODGRANTA</w:t>
      </w:r>
      <w:bookmarkEnd w:id="15"/>
    </w:p>
    <w:p w14:paraId="13706ADB" w14:textId="77777777" w:rsidR="005A7420" w:rsidRPr="00586DCF" w:rsidRDefault="005A7420" w:rsidP="005A7420">
      <w:pPr>
        <w:jc w:val="both"/>
        <w:rPr>
          <w:rFonts w:cs="Calibri"/>
          <w:sz w:val="20"/>
          <w:szCs w:val="20"/>
        </w:rPr>
      </w:pPr>
    </w:p>
    <w:p w14:paraId="5AC01485" w14:textId="77777777" w:rsidR="005A7420" w:rsidRPr="00586DCF" w:rsidRDefault="005A7420" w:rsidP="005A7420">
      <w:pPr>
        <w:jc w:val="both"/>
        <w:rPr>
          <w:rFonts w:cs="Calibri"/>
          <w:sz w:val="20"/>
          <w:szCs w:val="20"/>
        </w:rPr>
      </w:pPr>
      <w:r w:rsidRPr="00DF35C0">
        <w:rPr>
          <w:rFonts w:cs="Calibri"/>
          <w:sz w:val="20"/>
          <w:szCs w:val="20"/>
        </w:rPr>
        <w:t>Odabrani podgrantovi će se baviti nizom socioekonomskih potreba i prioriteta mladih žena i muškaraca. Ove inicijative vođene mladima ne mogu se odrediti a priori jer su vođene potražnjom i odgovoriće na nezadovoljene potrebe marginalizovanih mladih na nivou zajednice. I profitne i neprofitne aktivnosti su kvalifikovane za finansiranje. Poboljšanja omladinskih centara/prostora u vlasništvu nevladinih organizacija i opština su prihvatljiva u zavisnosti od prioriteta mladih. Aktivnosti kvalifikovanih podgrantova će biti identifikovane na osnovu sledećih kriterijuma prihvatljivosti</w:t>
      </w:r>
      <w:r w:rsidRPr="00586DCF">
        <w:rPr>
          <w:rFonts w:cs="Calibri"/>
          <w:sz w:val="20"/>
          <w:szCs w:val="20"/>
        </w:rPr>
        <w:t xml:space="preserve">: </w:t>
      </w:r>
    </w:p>
    <w:p w14:paraId="15E01EAA" w14:textId="77777777" w:rsidR="005A7420" w:rsidRPr="00586DCF" w:rsidRDefault="005A7420" w:rsidP="005A7420">
      <w:pPr>
        <w:spacing w:line="280" w:lineRule="exact"/>
        <w:ind w:right="105"/>
        <w:jc w:val="both"/>
        <w:rPr>
          <w:rFonts w:cs="Calibri"/>
          <w:sz w:val="20"/>
          <w:szCs w:val="20"/>
        </w:rPr>
      </w:pPr>
      <w:r w:rsidRPr="00DF35C0">
        <w:rPr>
          <w:rFonts w:eastAsia="Cambria"/>
          <w:spacing w:val="-1"/>
          <w:sz w:val="20"/>
          <w:szCs w:val="20"/>
        </w:rPr>
        <w:t>Neformalne omladinske grupe ili CBO-ovi u skladu sa ovim javnim pozivom mogu se prijaviti sa svojim potprojektima rešavanjem niza socioekonomskih potreba i prioriteta mladih žena i muškaraca fokusiranih na sledeće oblasti</w:t>
      </w:r>
      <w:r w:rsidRPr="00586DCF">
        <w:rPr>
          <w:sz w:val="20"/>
          <w:szCs w:val="20"/>
        </w:rPr>
        <w:t xml:space="preserve">: </w:t>
      </w:r>
    </w:p>
    <w:p w14:paraId="52052C42" w14:textId="77777777" w:rsidR="005A7420" w:rsidRPr="00DF35C0" w:rsidRDefault="005A7420" w:rsidP="005A7420">
      <w:pPr>
        <w:pStyle w:val="NoSpacing"/>
        <w:numPr>
          <w:ilvl w:val="0"/>
          <w:numId w:val="16"/>
        </w:numPr>
        <w:rPr>
          <w:rFonts w:asciiTheme="minorHAnsi" w:hAnsiTheme="minorHAnsi"/>
          <w:sz w:val="20"/>
          <w:szCs w:val="20"/>
        </w:rPr>
      </w:pPr>
      <w:r w:rsidRPr="00DF35C0">
        <w:rPr>
          <w:rFonts w:asciiTheme="minorHAnsi" w:hAnsiTheme="minorHAnsi"/>
          <w:sz w:val="20"/>
          <w:szCs w:val="20"/>
        </w:rPr>
        <w:t>Ekonomske usluge namenjene poboljšanju zapošljivosti mladih i mogućnosti za generisanje prihoda (npr. obuka za izgradnju veština, pristup prostorima za proizvodnju, obuka o preduzetništvu, IKT kursevi, itd.)</w:t>
      </w:r>
    </w:p>
    <w:p w14:paraId="2B7FCB47" w14:textId="77777777" w:rsidR="005A7420" w:rsidRPr="00DF35C0" w:rsidRDefault="005A7420" w:rsidP="005A7420">
      <w:pPr>
        <w:pStyle w:val="NoSpacing"/>
        <w:numPr>
          <w:ilvl w:val="0"/>
          <w:numId w:val="16"/>
        </w:numPr>
        <w:rPr>
          <w:rFonts w:asciiTheme="minorHAnsi" w:hAnsiTheme="minorHAnsi"/>
          <w:sz w:val="20"/>
          <w:szCs w:val="20"/>
        </w:rPr>
      </w:pPr>
      <w:r w:rsidRPr="00DF35C0">
        <w:rPr>
          <w:rFonts w:asciiTheme="minorHAnsi" w:hAnsiTheme="minorHAnsi"/>
          <w:sz w:val="20"/>
          <w:szCs w:val="20"/>
        </w:rPr>
        <w:t>Kulturne i sportske aktivnosti mladih (npr. događaji, kampanje, kupovina opreme, popravka i unapređenje postojećih objekata)</w:t>
      </w:r>
    </w:p>
    <w:p w14:paraId="60A61A77" w14:textId="77777777" w:rsidR="005A7420" w:rsidRPr="00DF35C0" w:rsidRDefault="005A7420" w:rsidP="005A7420">
      <w:pPr>
        <w:pStyle w:val="NoSpacing"/>
        <w:numPr>
          <w:ilvl w:val="0"/>
          <w:numId w:val="16"/>
        </w:numPr>
        <w:rPr>
          <w:rFonts w:asciiTheme="minorHAnsi" w:hAnsiTheme="minorHAnsi"/>
          <w:sz w:val="20"/>
          <w:szCs w:val="20"/>
        </w:rPr>
      </w:pPr>
      <w:r w:rsidRPr="00DF35C0">
        <w:rPr>
          <w:rFonts w:asciiTheme="minorHAnsi" w:hAnsiTheme="minorHAnsi"/>
          <w:sz w:val="20"/>
          <w:szCs w:val="20"/>
        </w:rPr>
        <w:t>Inicijative za obrazovanje/podizanje svesti zasnovane na pitanjima (npr. droga i alkohol, seks i seksualnost, antirasizam, borba protiv maltretiranja, zaštita životne sredine, itd.)</w:t>
      </w:r>
    </w:p>
    <w:p w14:paraId="5F521F7F" w14:textId="77777777" w:rsidR="005A7420" w:rsidRPr="00DF35C0" w:rsidRDefault="005A7420" w:rsidP="005A7420">
      <w:pPr>
        <w:pStyle w:val="NoSpacing"/>
        <w:numPr>
          <w:ilvl w:val="0"/>
          <w:numId w:val="16"/>
        </w:numPr>
        <w:rPr>
          <w:rFonts w:asciiTheme="minorHAnsi" w:hAnsiTheme="minorHAnsi"/>
          <w:sz w:val="20"/>
          <w:szCs w:val="20"/>
        </w:rPr>
      </w:pPr>
      <w:r w:rsidRPr="00DF35C0">
        <w:rPr>
          <w:rFonts w:asciiTheme="minorHAnsi" w:hAnsiTheme="minorHAnsi"/>
          <w:sz w:val="20"/>
          <w:szCs w:val="20"/>
        </w:rPr>
        <w:t>Psihosocijalna podrška i emocionalno savetovanje</w:t>
      </w:r>
    </w:p>
    <w:p w14:paraId="6C8F23ED" w14:textId="77777777" w:rsidR="005A7420" w:rsidRPr="00DF35C0" w:rsidRDefault="005A7420" w:rsidP="005A7420">
      <w:pPr>
        <w:pStyle w:val="NoSpacing"/>
        <w:numPr>
          <w:ilvl w:val="0"/>
          <w:numId w:val="16"/>
        </w:numPr>
        <w:rPr>
          <w:rFonts w:asciiTheme="minorHAnsi" w:hAnsiTheme="minorHAnsi"/>
          <w:sz w:val="20"/>
          <w:szCs w:val="20"/>
        </w:rPr>
      </w:pPr>
      <w:r w:rsidRPr="00DF35C0">
        <w:rPr>
          <w:rFonts w:asciiTheme="minorHAnsi" w:hAnsiTheme="minorHAnsi"/>
          <w:sz w:val="20"/>
          <w:szCs w:val="20"/>
        </w:rPr>
        <w:t>Aktivnosti društvenih veština, kao što su drama, muzika, ples, igre za izgradnju tima, umetnost i zanat, grafitna umetnost, itd.</w:t>
      </w:r>
    </w:p>
    <w:p w14:paraId="4A621E4D" w14:textId="77777777" w:rsidR="005A7420" w:rsidRPr="00586DCF" w:rsidRDefault="005A7420" w:rsidP="005A7420">
      <w:pPr>
        <w:pStyle w:val="NoSpacing"/>
        <w:numPr>
          <w:ilvl w:val="0"/>
          <w:numId w:val="16"/>
        </w:numPr>
        <w:rPr>
          <w:rFonts w:asciiTheme="minorHAnsi" w:hAnsiTheme="minorHAnsi"/>
          <w:sz w:val="20"/>
          <w:szCs w:val="20"/>
        </w:rPr>
      </w:pPr>
      <w:r w:rsidRPr="00DF35C0">
        <w:rPr>
          <w:rFonts w:asciiTheme="minorHAnsi" w:hAnsiTheme="minorHAnsi"/>
          <w:sz w:val="20"/>
          <w:szCs w:val="20"/>
        </w:rPr>
        <w:t>Dodatne omladinske aktivnosti koje se bave lokalnim potrebama i prioritetima mladih</w:t>
      </w:r>
      <w:r w:rsidRPr="00586DCF">
        <w:rPr>
          <w:rFonts w:asciiTheme="minorHAnsi" w:hAnsiTheme="minorHAnsi"/>
          <w:sz w:val="20"/>
          <w:szCs w:val="20"/>
        </w:rPr>
        <w:t>.</w:t>
      </w:r>
    </w:p>
    <w:p w14:paraId="31315CB2" w14:textId="77777777" w:rsidR="005A7420" w:rsidRPr="00586DCF" w:rsidRDefault="005A7420" w:rsidP="005A7420">
      <w:pPr>
        <w:widowControl w:val="0"/>
        <w:autoSpaceDE w:val="0"/>
        <w:autoSpaceDN w:val="0"/>
        <w:adjustRightInd w:val="0"/>
        <w:spacing w:line="240" w:lineRule="auto"/>
        <w:rPr>
          <w:rFonts w:cstheme="minorHAnsi"/>
          <w:bCs/>
          <w:sz w:val="20"/>
          <w:szCs w:val="20"/>
        </w:rPr>
      </w:pPr>
    </w:p>
    <w:p w14:paraId="4DBDE1A5" w14:textId="77777777" w:rsidR="005A7420" w:rsidRPr="00586DCF" w:rsidRDefault="005A7420" w:rsidP="005A7420">
      <w:pPr>
        <w:widowControl w:val="0"/>
        <w:autoSpaceDE w:val="0"/>
        <w:autoSpaceDN w:val="0"/>
        <w:adjustRightInd w:val="0"/>
        <w:spacing w:line="240" w:lineRule="auto"/>
        <w:jc w:val="both"/>
        <w:rPr>
          <w:rFonts w:eastAsia="Calibri" w:cstheme="minorHAnsi"/>
          <w:sz w:val="20"/>
          <w:szCs w:val="20"/>
        </w:rPr>
      </w:pPr>
      <w:r w:rsidRPr="00DF35C0">
        <w:rPr>
          <w:rFonts w:eastAsia="Calibri" w:cstheme="minorHAnsi"/>
          <w:sz w:val="20"/>
          <w:szCs w:val="20"/>
        </w:rPr>
        <w:t>Osim toga, u kategoriji podgrantova u zajednici za mlade odrasle osobe (18-24), mlade odrasle i CBO-ove mogu podneti prijave sa projektima građevinskih radova, odnosno projektima koji se odnose na poboljšanja objekata u zajednici u vezi sa mladima (npr. popravka i unapređenje centara za mlade, parkova, učionice, prostori prilagođeni mladima u domovima zdravlja i bibliotekama</w:t>
      </w:r>
      <w:r w:rsidRPr="00586DCF">
        <w:rPr>
          <w:rFonts w:eastAsia="Calibri" w:cstheme="minorHAnsi"/>
          <w:sz w:val="20"/>
          <w:szCs w:val="20"/>
        </w:rPr>
        <w:t>).</w:t>
      </w:r>
    </w:p>
    <w:p w14:paraId="08864DA3" w14:textId="77777777" w:rsidR="005A7420" w:rsidRPr="00586DCF" w:rsidRDefault="005A7420" w:rsidP="005A7420">
      <w:pPr>
        <w:spacing w:after="0" w:line="240" w:lineRule="auto"/>
        <w:jc w:val="both"/>
        <w:rPr>
          <w:rFonts w:eastAsiaTheme="minorEastAsia" w:cstheme="minorHAnsi"/>
          <w:sz w:val="20"/>
          <w:szCs w:val="20"/>
        </w:rPr>
      </w:pPr>
      <w:r w:rsidRPr="00DF35C0">
        <w:rPr>
          <w:rFonts w:eastAsiaTheme="minorEastAsia" w:cstheme="minorHAnsi"/>
          <w:b/>
          <w:bCs/>
          <w:sz w:val="20"/>
          <w:szCs w:val="20"/>
        </w:rPr>
        <w:t xml:space="preserve">Podgrantovi koji ispunjavaju uslove za građevinske radove, </w:t>
      </w:r>
      <w:r w:rsidRPr="00DF35C0">
        <w:rPr>
          <w:rFonts w:eastAsiaTheme="minorEastAsia" w:cstheme="minorHAnsi"/>
          <w:bCs/>
          <w:sz w:val="20"/>
          <w:szCs w:val="20"/>
        </w:rPr>
        <w:t>biće podeljeni u dva dela: 1 podgrant samo za građevinske radove i povezani podgrant za povezane aktivnosti. Podnosilac građevinskih radova će podneti dva odvojena predloga podprojekata, koji će se zajednički ocenjivati</w:t>
      </w:r>
      <w:r w:rsidRPr="00DF35C0">
        <w:rPr>
          <w:rFonts w:eastAsiaTheme="minorEastAsia" w:cstheme="minorHAnsi"/>
          <w:sz w:val="20"/>
          <w:szCs w:val="20"/>
        </w:rPr>
        <w:t>.</w:t>
      </w:r>
      <w:r w:rsidRPr="00586DCF">
        <w:rPr>
          <w:rFonts w:eastAsiaTheme="minorEastAsia" w:cstheme="minorHAnsi"/>
          <w:sz w:val="20"/>
          <w:szCs w:val="20"/>
        </w:rPr>
        <w:t xml:space="preserve"> </w:t>
      </w:r>
    </w:p>
    <w:p w14:paraId="235D1FC3" w14:textId="77777777" w:rsidR="005A7420" w:rsidRPr="00586DCF" w:rsidRDefault="005A7420" w:rsidP="005A7420">
      <w:pPr>
        <w:widowControl w:val="0"/>
        <w:autoSpaceDE w:val="0"/>
        <w:autoSpaceDN w:val="0"/>
        <w:adjustRightInd w:val="0"/>
        <w:spacing w:line="240" w:lineRule="auto"/>
        <w:jc w:val="both"/>
        <w:rPr>
          <w:rFonts w:eastAsia="Calibri" w:cstheme="minorHAnsi"/>
          <w:sz w:val="20"/>
          <w:szCs w:val="20"/>
        </w:rPr>
      </w:pPr>
    </w:p>
    <w:p w14:paraId="4698427F" w14:textId="77777777" w:rsidR="005A7420" w:rsidRPr="00586DCF" w:rsidRDefault="005A7420" w:rsidP="001C59B7">
      <w:pPr>
        <w:pStyle w:val="Heading2"/>
      </w:pPr>
      <w:bookmarkStart w:id="16" w:name="_Toc101439449"/>
      <w:r w:rsidRPr="001E72EA">
        <w:t>Prihvatljivi  troškovi</w:t>
      </w:r>
      <w:bookmarkEnd w:id="16"/>
      <w:r w:rsidRPr="001E72EA">
        <w:t xml:space="preserve"> </w:t>
      </w:r>
    </w:p>
    <w:p w14:paraId="5A3BE6FD" w14:textId="77777777" w:rsidR="005A7420" w:rsidRPr="00586DCF" w:rsidRDefault="005A7420" w:rsidP="005A7420">
      <w:pPr>
        <w:pStyle w:val="NoSpacing"/>
        <w:shd w:val="clear" w:color="auto" w:fill="FFFFFF" w:themeFill="background1"/>
        <w:jc w:val="both"/>
        <w:rPr>
          <w:rFonts w:cstheme="minorHAnsi"/>
          <w:sz w:val="20"/>
          <w:szCs w:val="20"/>
          <w:lang w:bidi="sq-AL"/>
        </w:rPr>
      </w:pPr>
      <w:r w:rsidRPr="00DF35C0">
        <w:rPr>
          <w:rFonts w:cstheme="minorHAnsi"/>
          <w:sz w:val="20"/>
          <w:szCs w:val="20"/>
          <w:lang w:bidi="sq-AL"/>
        </w:rPr>
        <w:t>Prihvatljivi troškovi u okviru podgrantova su troškovi direktno povezani sa sprovođenjem predloženih potprojekata. Takvi troškovi</w:t>
      </w:r>
      <w:r w:rsidRPr="00586DCF">
        <w:rPr>
          <w:rFonts w:cstheme="minorHAnsi"/>
          <w:sz w:val="20"/>
          <w:szCs w:val="20"/>
          <w:lang w:bidi="sq-AL"/>
        </w:rPr>
        <w:t xml:space="preserve">: </w:t>
      </w:r>
    </w:p>
    <w:p w14:paraId="4719647B" w14:textId="77777777" w:rsidR="005A7420" w:rsidRPr="00DF35C0" w:rsidRDefault="005A7420" w:rsidP="005A7420">
      <w:pPr>
        <w:pStyle w:val="BankNormal"/>
        <w:numPr>
          <w:ilvl w:val="0"/>
          <w:numId w:val="23"/>
        </w:numPr>
        <w:snapToGrid w:val="0"/>
        <w:spacing w:after="0"/>
        <w:jc w:val="both"/>
        <w:rPr>
          <w:rFonts w:asciiTheme="minorHAnsi" w:eastAsiaTheme="minorEastAsia" w:hAnsiTheme="minorHAnsi" w:cstheme="minorHAnsi"/>
          <w:sz w:val="20"/>
          <w:lang w:bidi="sq-AL"/>
        </w:rPr>
      </w:pPr>
      <w:r w:rsidRPr="00DF35C0">
        <w:rPr>
          <w:rFonts w:asciiTheme="minorHAnsi" w:eastAsiaTheme="minorEastAsia" w:hAnsiTheme="minorHAnsi" w:cstheme="minorHAnsi"/>
          <w:sz w:val="20"/>
          <w:lang w:bidi="sq-AL"/>
        </w:rPr>
        <w:t>Moraju nastati tokom trajanja potprojekta,</w:t>
      </w:r>
    </w:p>
    <w:p w14:paraId="3430A417" w14:textId="77777777" w:rsidR="005A7420" w:rsidRPr="00DF35C0" w:rsidRDefault="005A7420" w:rsidP="005A7420">
      <w:pPr>
        <w:pStyle w:val="BankNormal"/>
        <w:numPr>
          <w:ilvl w:val="0"/>
          <w:numId w:val="23"/>
        </w:numPr>
        <w:snapToGrid w:val="0"/>
        <w:spacing w:after="0"/>
        <w:jc w:val="both"/>
        <w:rPr>
          <w:rFonts w:asciiTheme="minorHAnsi" w:eastAsiaTheme="minorEastAsia" w:hAnsiTheme="minorHAnsi" w:cstheme="minorHAnsi"/>
          <w:sz w:val="20"/>
          <w:lang w:bidi="sq-AL"/>
        </w:rPr>
      </w:pPr>
      <w:r w:rsidRPr="00DF35C0">
        <w:rPr>
          <w:rFonts w:asciiTheme="minorHAnsi" w:eastAsiaTheme="minorEastAsia" w:hAnsiTheme="minorHAnsi" w:cstheme="minorHAnsi"/>
          <w:sz w:val="20"/>
          <w:lang w:bidi="sq-AL"/>
        </w:rPr>
        <w:t>Moraju biti naznačeno i detaljno navedeno u predlogu potprojekta</w:t>
      </w:r>
    </w:p>
    <w:p w14:paraId="4913E54A" w14:textId="77777777" w:rsidR="005A7420" w:rsidRPr="00DF35C0" w:rsidRDefault="005A7420" w:rsidP="005A7420">
      <w:pPr>
        <w:pStyle w:val="BankNormal"/>
        <w:numPr>
          <w:ilvl w:val="0"/>
          <w:numId w:val="23"/>
        </w:numPr>
        <w:snapToGrid w:val="0"/>
        <w:spacing w:after="0"/>
        <w:jc w:val="both"/>
        <w:rPr>
          <w:rFonts w:asciiTheme="minorHAnsi" w:eastAsiaTheme="minorEastAsia" w:hAnsiTheme="minorHAnsi" w:cstheme="minorHAnsi"/>
          <w:sz w:val="20"/>
          <w:lang w:bidi="sq-AL"/>
        </w:rPr>
      </w:pPr>
      <w:r w:rsidRPr="00DF35C0">
        <w:rPr>
          <w:rFonts w:asciiTheme="minorHAnsi" w:eastAsiaTheme="minorEastAsia" w:hAnsiTheme="minorHAnsi" w:cstheme="minorHAnsi"/>
          <w:sz w:val="20"/>
          <w:lang w:bidi="sq-AL"/>
        </w:rPr>
        <w:t>Moraju biti prepoznatljivi i proverljivi, posebno evidentirani u računovodstvenim evidencijama i utvrđeni prema važećim računovodstvenim standardima,</w:t>
      </w:r>
    </w:p>
    <w:p w14:paraId="1B50270B" w14:textId="77777777" w:rsidR="005A7420" w:rsidRPr="00586DCF" w:rsidRDefault="005A7420" w:rsidP="005A7420">
      <w:pPr>
        <w:pStyle w:val="BankNormal"/>
        <w:numPr>
          <w:ilvl w:val="0"/>
          <w:numId w:val="23"/>
        </w:numPr>
        <w:snapToGrid w:val="0"/>
        <w:spacing w:after="0"/>
        <w:jc w:val="both"/>
        <w:rPr>
          <w:rFonts w:asciiTheme="minorHAnsi" w:eastAsiaTheme="minorEastAsia" w:hAnsiTheme="minorHAnsi" w:cstheme="minorHAnsi"/>
          <w:sz w:val="20"/>
          <w:lang w:bidi="sq-AL"/>
        </w:rPr>
      </w:pPr>
      <w:r w:rsidRPr="00DF35C0">
        <w:rPr>
          <w:rFonts w:asciiTheme="minorHAnsi" w:eastAsiaTheme="minorEastAsia" w:hAnsiTheme="minorHAnsi" w:cstheme="minorHAnsi"/>
          <w:sz w:val="20"/>
          <w:lang w:bidi="sq-AL"/>
        </w:rPr>
        <w:t>Moraju biti razumani, opravdani i u skladu sa zahtevima dobrog finansijskog upravljanja</w:t>
      </w:r>
      <w:r w:rsidRPr="00586DCF">
        <w:rPr>
          <w:rFonts w:asciiTheme="minorHAnsi" w:eastAsiaTheme="minorEastAsia" w:hAnsiTheme="minorHAnsi" w:cstheme="minorHAnsi"/>
          <w:sz w:val="20"/>
          <w:lang w:bidi="sq-AL"/>
        </w:rPr>
        <w:t>.</w:t>
      </w:r>
    </w:p>
    <w:p w14:paraId="6CF69EB2" w14:textId="77777777" w:rsidR="005A7420" w:rsidRPr="00586DCF" w:rsidRDefault="005A7420" w:rsidP="005A7420">
      <w:pPr>
        <w:pStyle w:val="BankNormal"/>
        <w:snapToGrid w:val="0"/>
        <w:spacing w:after="0"/>
        <w:jc w:val="both"/>
        <w:rPr>
          <w:rFonts w:asciiTheme="minorHAnsi" w:eastAsiaTheme="minorEastAsia" w:hAnsiTheme="minorHAnsi" w:cstheme="minorHAnsi"/>
          <w:sz w:val="20"/>
          <w:lang w:bidi="sq-AL"/>
        </w:rPr>
      </w:pPr>
    </w:p>
    <w:p w14:paraId="4C32FA5D" w14:textId="77777777" w:rsidR="005A7420" w:rsidRPr="00586DCF" w:rsidRDefault="005A7420" w:rsidP="005A7420">
      <w:pPr>
        <w:pStyle w:val="BankNormal"/>
        <w:snapToGrid w:val="0"/>
        <w:spacing w:after="0"/>
        <w:jc w:val="both"/>
        <w:rPr>
          <w:rFonts w:cstheme="minorHAnsi"/>
          <w:sz w:val="20"/>
          <w:lang w:bidi="sq-AL"/>
        </w:rPr>
      </w:pPr>
      <w:r w:rsidRPr="00DF35C0">
        <w:rPr>
          <w:rFonts w:asciiTheme="minorHAnsi" w:eastAsiaTheme="minorEastAsia" w:hAnsiTheme="minorHAnsi" w:cstheme="minorHAnsi"/>
          <w:sz w:val="20"/>
          <w:lang w:bidi="sq-AL"/>
        </w:rPr>
        <w:t>Prihvatljivi troškovi uključuju, ali nisu ograničeni na</w:t>
      </w:r>
      <w:r w:rsidRPr="00586DCF">
        <w:rPr>
          <w:rFonts w:asciiTheme="minorHAnsi" w:eastAsiaTheme="minorEastAsia" w:hAnsiTheme="minorHAnsi" w:cstheme="minorHAnsi"/>
          <w:sz w:val="20"/>
          <w:lang w:bidi="sq-AL"/>
        </w:rPr>
        <w:t xml:space="preserve">: </w:t>
      </w:r>
    </w:p>
    <w:p w14:paraId="5ABBAA9C" w14:textId="77777777" w:rsidR="005A7420" w:rsidRPr="00DF35C0" w:rsidRDefault="005A7420" w:rsidP="005A7420">
      <w:pPr>
        <w:pStyle w:val="NoSpacing"/>
        <w:numPr>
          <w:ilvl w:val="0"/>
          <w:numId w:val="22"/>
        </w:numPr>
        <w:shd w:val="clear" w:color="auto" w:fill="FFFFFF" w:themeFill="background1"/>
        <w:jc w:val="both"/>
        <w:rPr>
          <w:rFonts w:cstheme="minorHAnsi"/>
          <w:spacing w:val="-1"/>
          <w:sz w:val="20"/>
          <w:szCs w:val="20"/>
        </w:rPr>
      </w:pPr>
      <w:r w:rsidRPr="00DF35C0">
        <w:rPr>
          <w:rFonts w:cstheme="minorHAnsi"/>
          <w:spacing w:val="-1"/>
          <w:sz w:val="20"/>
          <w:szCs w:val="20"/>
        </w:rPr>
        <w:t>Troškovi nabavke opreme neophodne za realizaciju potprojekta koji se moraju odrediti vrstom i iznosom;</w:t>
      </w:r>
    </w:p>
    <w:p w14:paraId="6C8D00EE" w14:textId="77777777" w:rsidR="005A7420" w:rsidRPr="00DF35C0" w:rsidRDefault="005A7420" w:rsidP="005A7420">
      <w:pPr>
        <w:pStyle w:val="NoSpacing"/>
        <w:numPr>
          <w:ilvl w:val="0"/>
          <w:numId w:val="22"/>
        </w:numPr>
        <w:shd w:val="clear" w:color="auto" w:fill="FFFFFF" w:themeFill="background1"/>
        <w:jc w:val="both"/>
        <w:rPr>
          <w:rFonts w:cstheme="minorHAnsi"/>
          <w:spacing w:val="-1"/>
          <w:sz w:val="20"/>
          <w:szCs w:val="20"/>
        </w:rPr>
      </w:pPr>
      <w:r w:rsidRPr="00DF35C0">
        <w:rPr>
          <w:rFonts w:cstheme="minorHAnsi"/>
          <w:spacing w:val="-1"/>
          <w:sz w:val="20"/>
          <w:szCs w:val="20"/>
        </w:rPr>
        <w:t>Troškovi organizovanja obrazovnih aktivnosti (didaktički materijali, oprema, pribor);</w:t>
      </w:r>
    </w:p>
    <w:p w14:paraId="786997A1" w14:textId="77777777" w:rsidR="005A7420" w:rsidRPr="00DF35C0" w:rsidRDefault="005A7420" w:rsidP="005A7420">
      <w:pPr>
        <w:pStyle w:val="NoSpacing"/>
        <w:numPr>
          <w:ilvl w:val="0"/>
          <w:numId w:val="22"/>
        </w:numPr>
        <w:shd w:val="clear" w:color="auto" w:fill="FFFFFF" w:themeFill="background1"/>
        <w:jc w:val="both"/>
        <w:rPr>
          <w:rFonts w:cstheme="minorHAnsi"/>
          <w:spacing w:val="-1"/>
          <w:sz w:val="20"/>
          <w:szCs w:val="20"/>
        </w:rPr>
      </w:pPr>
      <w:r w:rsidRPr="00DF35C0">
        <w:rPr>
          <w:rFonts w:cstheme="minorHAnsi"/>
          <w:spacing w:val="-1"/>
          <w:sz w:val="20"/>
          <w:szCs w:val="20"/>
        </w:rPr>
        <w:t>Grafičke usluge (priprema za štampu, usluge štampanja letaka, brošura, časopisa, itd., navodeći vrstu i obim usluge, količinu, jediničnu cenu, itd.);</w:t>
      </w:r>
    </w:p>
    <w:p w14:paraId="05EAEE5B" w14:textId="77777777" w:rsidR="005A7420" w:rsidRPr="00DF35C0" w:rsidRDefault="005A7420" w:rsidP="005A7420">
      <w:pPr>
        <w:pStyle w:val="NoSpacing"/>
        <w:numPr>
          <w:ilvl w:val="0"/>
          <w:numId w:val="22"/>
        </w:numPr>
        <w:shd w:val="clear" w:color="auto" w:fill="FFFFFF" w:themeFill="background1"/>
        <w:jc w:val="both"/>
        <w:rPr>
          <w:rFonts w:cstheme="minorHAnsi"/>
          <w:spacing w:val="-1"/>
          <w:sz w:val="20"/>
          <w:szCs w:val="20"/>
        </w:rPr>
      </w:pPr>
      <w:r w:rsidRPr="00DF35C0">
        <w:rPr>
          <w:rFonts w:cstheme="minorHAnsi"/>
          <w:spacing w:val="-1"/>
          <w:sz w:val="20"/>
          <w:szCs w:val="20"/>
        </w:rPr>
        <w:t>Usluge oglašavanja (kampanje na društvenim mrežama, televizijske i radio prezentacije, održavanje veb stranica, novinskih najava, javnih materijala, itd., utvrđivanje vrste promocije, trajanja i cene usluga);</w:t>
      </w:r>
    </w:p>
    <w:p w14:paraId="20C6DE12" w14:textId="77777777" w:rsidR="005A7420" w:rsidRPr="00DF35C0" w:rsidRDefault="005A7420" w:rsidP="005A7420">
      <w:pPr>
        <w:pStyle w:val="NoSpacing"/>
        <w:numPr>
          <w:ilvl w:val="0"/>
          <w:numId w:val="22"/>
        </w:numPr>
        <w:shd w:val="clear" w:color="auto" w:fill="FFFFFF" w:themeFill="background1"/>
        <w:jc w:val="both"/>
        <w:rPr>
          <w:rFonts w:cstheme="minorHAnsi"/>
          <w:spacing w:val="-1"/>
          <w:sz w:val="20"/>
          <w:szCs w:val="20"/>
        </w:rPr>
      </w:pPr>
      <w:r w:rsidRPr="00DF35C0">
        <w:rPr>
          <w:rFonts w:cstheme="minorHAnsi"/>
          <w:spacing w:val="-1"/>
          <w:sz w:val="20"/>
          <w:szCs w:val="20"/>
        </w:rPr>
        <w:t>Troškovi održavanja, rehabilitacije i popravke komunalnih objekata i infrastrukture;</w:t>
      </w:r>
    </w:p>
    <w:p w14:paraId="0842172F" w14:textId="77777777" w:rsidR="005A7420" w:rsidRPr="00DF35C0" w:rsidRDefault="005A7420" w:rsidP="005A7420">
      <w:pPr>
        <w:pStyle w:val="NoSpacing"/>
        <w:numPr>
          <w:ilvl w:val="0"/>
          <w:numId w:val="22"/>
        </w:numPr>
        <w:shd w:val="clear" w:color="auto" w:fill="FFFFFF" w:themeFill="background1"/>
        <w:jc w:val="both"/>
        <w:rPr>
          <w:rFonts w:cstheme="minorHAnsi"/>
          <w:spacing w:val="-1"/>
          <w:sz w:val="20"/>
          <w:szCs w:val="20"/>
        </w:rPr>
      </w:pPr>
      <w:r w:rsidRPr="00DF35C0">
        <w:rPr>
          <w:rFonts w:cstheme="minorHAnsi"/>
          <w:spacing w:val="-1"/>
          <w:sz w:val="20"/>
          <w:szCs w:val="20"/>
        </w:rPr>
        <w:lastRenderedPageBreak/>
        <w:t>Stručne usluge nabavljene od pružatelja usluga ili izvođača (npr. obuka, dizajn i instalacija tehničkih rešenja);</w:t>
      </w:r>
    </w:p>
    <w:p w14:paraId="6A8013DA" w14:textId="77777777" w:rsidR="005A7420" w:rsidRPr="00DF35C0" w:rsidRDefault="005A7420" w:rsidP="005A7420">
      <w:pPr>
        <w:pStyle w:val="NoSpacing"/>
        <w:numPr>
          <w:ilvl w:val="0"/>
          <w:numId w:val="22"/>
        </w:numPr>
        <w:shd w:val="clear" w:color="auto" w:fill="FFFFFF" w:themeFill="background1"/>
        <w:jc w:val="both"/>
        <w:rPr>
          <w:rFonts w:cstheme="minorHAnsi"/>
          <w:spacing w:val="-1"/>
          <w:sz w:val="20"/>
          <w:szCs w:val="20"/>
        </w:rPr>
      </w:pPr>
      <w:r w:rsidRPr="00DF35C0">
        <w:rPr>
          <w:rFonts w:cstheme="minorHAnsi"/>
          <w:spacing w:val="-1"/>
          <w:sz w:val="20"/>
          <w:szCs w:val="20"/>
        </w:rPr>
        <w:t>Logistika (troškovi telefona, interneta, prostora za događaje, itd.);</w:t>
      </w:r>
    </w:p>
    <w:p w14:paraId="4E8691B9" w14:textId="77777777" w:rsidR="005A7420" w:rsidRPr="00586DCF" w:rsidRDefault="005A7420" w:rsidP="005A7420">
      <w:pPr>
        <w:pStyle w:val="NoSpacing"/>
        <w:numPr>
          <w:ilvl w:val="0"/>
          <w:numId w:val="22"/>
        </w:numPr>
        <w:shd w:val="clear" w:color="auto" w:fill="FFFFFF" w:themeFill="background1"/>
        <w:jc w:val="both"/>
        <w:rPr>
          <w:rFonts w:cstheme="minorHAnsi"/>
          <w:sz w:val="20"/>
          <w:szCs w:val="20"/>
        </w:rPr>
      </w:pPr>
      <w:r w:rsidRPr="00DF35C0">
        <w:rPr>
          <w:rFonts w:cstheme="minorHAnsi"/>
          <w:spacing w:val="-1"/>
          <w:sz w:val="20"/>
          <w:szCs w:val="20"/>
        </w:rPr>
        <w:t>Operativni troškovi povezani sa sprovođenjem potprojekata, kao što su putni troškovi (javni prevoz, dnevnice</w:t>
      </w:r>
      <w:r w:rsidRPr="00586DCF">
        <w:rPr>
          <w:rFonts w:cstheme="minorHAnsi"/>
          <w:sz w:val="20"/>
          <w:szCs w:val="20"/>
        </w:rPr>
        <w:t>).</w:t>
      </w:r>
    </w:p>
    <w:p w14:paraId="1B9145E5" w14:textId="77777777" w:rsidR="005A7420" w:rsidRPr="00586DCF" w:rsidRDefault="005A7420" w:rsidP="005A7420">
      <w:pPr>
        <w:pStyle w:val="NoSpacing"/>
        <w:shd w:val="clear" w:color="auto" w:fill="FFFFFF" w:themeFill="background1"/>
        <w:jc w:val="both"/>
        <w:rPr>
          <w:rFonts w:cstheme="minorHAnsi"/>
          <w:sz w:val="20"/>
          <w:szCs w:val="20"/>
        </w:rPr>
      </w:pPr>
    </w:p>
    <w:p w14:paraId="2F3313F2" w14:textId="77777777" w:rsidR="005A7420" w:rsidRPr="00586DCF" w:rsidRDefault="005A7420" w:rsidP="001C59B7">
      <w:pPr>
        <w:pStyle w:val="Heading2"/>
      </w:pPr>
      <w:bookmarkStart w:id="17" w:name="_Toc101439450"/>
      <w:r>
        <w:t>Radni kapital</w:t>
      </w:r>
      <w:bookmarkEnd w:id="17"/>
      <w:r w:rsidRPr="00586DCF">
        <w:t xml:space="preserve"> </w:t>
      </w:r>
    </w:p>
    <w:p w14:paraId="5590F5C4" w14:textId="77777777" w:rsidR="005A7420" w:rsidRPr="00DF35C0" w:rsidRDefault="005A7420" w:rsidP="005A7420">
      <w:pPr>
        <w:pStyle w:val="NoSpacing"/>
        <w:shd w:val="clear" w:color="auto" w:fill="FFFFFF" w:themeFill="background1"/>
        <w:jc w:val="both"/>
        <w:rPr>
          <w:rFonts w:cstheme="minorHAnsi"/>
          <w:sz w:val="20"/>
          <w:szCs w:val="20"/>
        </w:rPr>
      </w:pPr>
      <w:r w:rsidRPr="00DF35C0">
        <w:rPr>
          <w:rFonts w:cstheme="minorHAnsi"/>
          <w:sz w:val="20"/>
          <w:szCs w:val="20"/>
        </w:rPr>
        <w:t>Fiksni troškovi ograničeni na plate za ljude koji direktno upravljaju i isporučuju usluge/proizvode podprojekta. Korisnicima podgranta nije dozvoljeno da sami sebi isplaćuju platu iz sredstava podgranta i neće im biti nadoknađeni rad koji su sami obavili u okviru pojedinačnog potprojekta. Plate će se isplaćivati samo ugovorenom osoblju selektivno.</w:t>
      </w:r>
    </w:p>
    <w:p w14:paraId="35314BA7" w14:textId="77777777" w:rsidR="005A7420" w:rsidRPr="00DF35C0" w:rsidRDefault="005A7420" w:rsidP="005A7420">
      <w:pPr>
        <w:pStyle w:val="NoSpacing"/>
        <w:shd w:val="clear" w:color="auto" w:fill="FFFFFF" w:themeFill="background1"/>
        <w:jc w:val="both"/>
        <w:rPr>
          <w:rFonts w:cstheme="minorHAnsi"/>
          <w:sz w:val="20"/>
          <w:szCs w:val="20"/>
        </w:rPr>
      </w:pPr>
    </w:p>
    <w:p w14:paraId="3F300B47" w14:textId="77777777" w:rsidR="005A7420" w:rsidRPr="00586DCF" w:rsidRDefault="005A7420" w:rsidP="005A7420">
      <w:pPr>
        <w:pStyle w:val="NoSpacing"/>
        <w:shd w:val="clear" w:color="auto" w:fill="FFFFFF" w:themeFill="background1"/>
        <w:jc w:val="both"/>
        <w:rPr>
          <w:rFonts w:cstheme="minorHAnsi"/>
          <w:sz w:val="20"/>
          <w:szCs w:val="20"/>
        </w:rPr>
      </w:pPr>
      <w:r w:rsidRPr="00DF35C0">
        <w:rPr>
          <w:rFonts w:cstheme="minorHAnsi"/>
          <w:sz w:val="20"/>
          <w:szCs w:val="20"/>
        </w:rPr>
        <w:t>Ukupni trošak radnog kapitala ne sme prelaziti 30% ukupne vrednosti pojedinačnog podprojekta</w:t>
      </w:r>
      <w:r w:rsidRPr="00586DCF">
        <w:rPr>
          <w:rFonts w:cstheme="minorHAnsi"/>
          <w:sz w:val="20"/>
          <w:szCs w:val="20"/>
        </w:rPr>
        <w:t xml:space="preserve">. </w:t>
      </w:r>
    </w:p>
    <w:p w14:paraId="312D72D1" w14:textId="77777777" w:rsidR="005A7420" w:rsidRPr="00586DCF" w:rsidRDefault="005A7420" w:rsidP="005A7420">
      <w:pPr>
        <w:pStyle w:val="NoSpacing"/>
        <w:shd w:val="clear" w:color="auto" w:fill="FFFFFF" w:themeFill="background1"/>
        <w:jc w:val="both"/>
        <w:rPr>
          <w:rFonts w:cstheme="minorHAnsi"/>
          <w:sz w:val="20"/>
          <w:szCs w:val="20"/>
          <w:highlight w:val="yellow"/>
        </w:rPr>
      </w:pPr>
    </w:p>
    <w:p w14:paraId="379A9577" w14:textId="77777777" w:rsidR="005A7420" w:rsidRPr="00586DCF" w:rsidRDefault="005A7420" w:rsidP="001C59B7">
      <w:pPr>
        <w:pStyle w:val="Heading3"/>
      </w:pPr>
      <w:bookmarkStart w:id="18" w:name="_Toc101439451"/>
      <w:r w:rsidRPr="001E72EA">
        <w:t>Neprihvatljive aktivnosti</w:t>
      </w:r>
      <w:bookmarkEnd w:id="18"/>
      <w:r w:rsidRPr="001E72EA">
        <w:t xml:space="preserve"> </w:t>
      </w:r>
      <w:r w:rsidRPr="00586DCF">
        <w:t xml:space="preserve"> </w:t>
      </w:r>
    </w:p>
    <w:p w14:paraId="4064D264" w14:textId="77777777" w:rsidR="005A7420" w:rsidRPr="00586DCF" w:rsidRDefault="005A7420" w:rsidP="005A7420">
      <w:pPr>
        <w:jc w:val="both"/>
        <w:rPr>
          <w:rFonts w:cstheme="minorHAnsi"/>
          <w:sz w:val="20"/>
          <w:szCs w:val="20"/>
        </w:rPr>
      </w:pPr>
    </w:p>
    <w:p w14:paraId="76E83033" w14:textId="77777777" w:rsidR="005A7420" w:rsidRPr="00586DCF" w:rsidRDefault="005A7420" w:rsidP="005A7420">
      <w:r w:rsidRPr="004C10F9">
        <w:rPr>
          <w:rFonts w:cstheme="minorHAnsi"/>
          <w:sz w:val="20"/>
          <w:szCs w:val="20"/>
        </w:rPr>
        <w:t>Negativna lista investicija prema projektu Okvir za upravljanje životnom sredinom i društveno upravljanje (ESMF</w:t>
      </w:r>
      <w:r w:rsidRPr="00586DCF">
        <w:rPr>
          <w:rFonts w:cstheme="minorHAnsi"/>
          <w:sz w:val="20"/>
          <w:szCs w:val="20"/>
        </w:rPr>
        <w:t xml:space="preserve">): </w:t>
      </w:r>
    </w:p>
    <w:p w14:paraId="448E079E" w14:textId="77777777" w:rsidR="005A7420" w:rsidRPr="004C10F9" w:rsidRDefault="005A7420" w:rsidP="005A7420">
      <w:pPr>
        <w:pStyle w:val="NoSpacing"/>
        <w:numPr>
          <w:ilvl w:val="0"/>
          <w:numId w:val="21"/>
        </w:numPr>
        <w:ind w:left="1080" w:hanging="358"/>
        <w:jc w:val="both"/>
        <w:rPr>
          <w:rFonts w:asciiTheme="minorHAnsi" w:hAnsiTheme="minorHAnsi" w:cstheme="minorHAnsi"/>
          <w:sz w:val="20"/>
          <w:szCs w:val="20"/>
        </w:rPr>
      </w:pPr>
      <w:r w:rsidRPr="004C10F9">
        <w:rPr>
          <w:rFonts w:asciiTheme="minorHAnsi" w:hAnsiTheme="minorHAnsi" w:cstheme="minorHAnsi"/>
          <w:sz w:val="20"/>
          <w:szCs w:val="20"/>
        </w:rPr>
        <w:t>Aktivnosti u zaštićenim područjima i na objektima i/ili lokacijama kulturnog nasleđa;</w:t>
      </w:r>
    </w:p>
    <w:p w14:paraId="17C7123E" w14:textId="77777777" w:rsidR="005A7420" w:rsidRPr="004C10F9" w:rsidRDefault="005A7420" w:rsidP="005A7420">
      <w:pPr>
        <w:pStyle w:val="NoSpacing"/>
        <w:numPr>
          <w:ilvl w:val="0"/>
          <w:numId w:val="21"/>
        </w:numPr>
        <w:ind w:left="1080" w:hanging="358"/>
        <w:jc w:val="both"/>
        <w:rPr>
          <w:rFonts w:asciiTheme="minorHAnsi" w:hAnsiTheme="minorHAnsi" w:cstheme="minorHAnsi"/>
          <w:sz w:val="20"/>
          <w:szCs w:val="20"/>
        </w:rPr>
      </w:pPr>
      <w:r w:rsidRPr="004C10F9">
        <w:rPr>
          <w:rFonts w:asciiTheme="minorHAnsi" w:hAnsiTheme="minorHAnsi" w:cstheme="minorHAnsi"/>
          <w:sz w:val="20"/>
          <w:szCs w:val="20"/>
        </w:rPr>
        <w:t>Aktivnosti koje pokreću zaštitne politike Svetske banke osim 4.01 Procene životne sredine;</w:t>
      </w:r>
    </w:p>
    <w:p w14:paraId="4B137FD5" w14:textId="77777777" w:rsidR="005A7420" w:rsidRPr="004C10F9" w:rsidRDefault="005A7420" w:rsidP="005A7420">
      <w:pPr>
        <w:pStyle w:val="NoSpacing"/>
        <w:numPr>
          <w:ilvl w:val="0"/>
          <w:numId w:val="21"/>
        </w:numPr>
        <w:ind w:left="1080" w:hanging="358"/>
        <w:jc w:val="both"/>
        <w:rPr>
          <w:rFonts w:asciiTheme="minorHAnsi" w:hAnsiTheme="minorHAnsi" w:cstheme="minorHAnsi"/>
          <w:sz w:val="20"/>
          <w:szCs w:val="20"/>
        </w:rPr>
      </w:pPr>
      <w:r w:rsidRPr="004C10F9">
        <w:rPr>
          <w:rFonts w:asciiTheme="minorHAnsi" w:hAnsiTheme="minorHAnsi" w:cstheme="minorHAnsi"/>
          <w:sz w:val="20"/>
          <w:szCs w:val="20"/>
        </w:rPr>
        <w:t>Aktivnosti koje ograničavaju ili uskraćuju pristup pojedincu ili zajednici zemlji ili raspoloživim resursima;</w:t>
      </w:r>
    </w:p>
    <w:p w14:paraId="461BE7C5" w14:textId="77777777" w:rsidR="005A7420" w:rsidRPr="004C10F9" w:rsidRDefault="005A7420" w:rsidP="005A7420">
      <w:pPr>
        <w:pStyle w:val="NoSpacing"/>
        <w:numPr>
          <w:ilvl w:val="0"/>
          <w:numId w:val="21"/>
        </w:numPr>
        <w:ind w:left="1080" w:hanging="358"/>
        <w:jc w:val="both"/>
        <w:rPr>
          <w:rFonts w:asciiTheme="minorHAnsi" w:hAnsiTheme="minorHAnsi" w:cstheme="minorHAnsi"/>
          <w:sz w:val="20"/>
          <w:szCs w:val="20"/>
        </w:rPr>
      </w:pPr>
      <w:r w:rsidRPr="004C10F9">
        <w:rPr>
          <w:rFonts w:asciiTheme="minorHAnsi" w:hAnsiTheme="minorHAnsi" w:cstheme="minorHAnsi"/>
          <w:sz w:val="20"/>
          <w:szCs w:val="20"/>
        </w:rPr>
        <w:t>Aktivnosti koje uzrokuju sticanje zemljišta ili raseljavanje pojedinaca ili zajednica (tj. pokreću Operativnu politiku Svetske banke (OP) 4.12 o prisilnom preseljavanju);</w:t>
      </w:r>
    </w:p>
    <w:p w14:paraId="37973ECB" w14:textId="77777777" w:rsidR="005A7420" w:rsidRPr="004C10F9" w:rsidRDefault="005A7420" w:rsidP="005A7420">
      <w:pPr>
        <w:pStyle w:val="NoSpacing"/>
        <w:numPr>
          <w:ilvl w:val="0"/>
          <w:numId w:val="21"/>
        </w:numPr>
        <w:ind w:left="1080" w:hanging="358"/>
        <w:jc w:val="both"/>
        <w:rPr>
          <w:rFonts w:asciiTheme="minorHAnsi" w:hAnsiTheme="minorHAnsi" w:cstheme="minorHAnsi"/>
          <w:sz w:val="20"/>
          <w:szCs w:val="20"/>
        </w:rPr>
      </w:pPr>
      <w:r w:rsidRPr="004C10F9">
        <w:rPr>
          <w:rFonts w:asciiTheme="minorHAnsi" w:hAnsiTheme="minorHAnsi" w:cstheme="minorHAnsi"/>
          <w:sz w:val="20"/>
          <w:szCs w:val="20"/>
        </w:rPr>
        <w:t>Aktivnosti u zaštićenim područjima i osetljivim ili kritičnim prirodnim staništima, kao i potprojekti koji uključuju seču;</w:t>
      </w:r>
    </w:p>
    <w:p w14:paraId="4050BD80" w14:textId="77777777" w:rsidR="005A7420" w:rsidRPr="004C10F9" w:rsidRDefault="005A7420" w:rsidP="005A7420">
      <w:pPr>
        <w:pStyle w:val="NoSpacing"/>
        <w:numPr>
          <w:ilvl w:val="0"/>
          <w:numId w:val="21"/>
        </w:numPr>
        <w:ind w:left="1080" w:hanging="358"/>
        <w:jc w:val="both"/>
        <w:rPr>
          <w:rFonts w:asciiTheme="minorHAnsi" w:hAnsiTheme="minorHAnsi" w:cstheme="minorHAnsi"/>
          <w:sz w:val="20"/>
          <w:szCs w:val="20"/>
        </w:rPr>
      </w:pPr>
      <w:r w:rsidRPr="004C10F9">
        <w:rPr>
          <w:rFonts w:asciiTheme="minorHAnsi" w:hAnsiTheme="minorHAnsi" w:cstheme="minorHAnsi"/>
          <w:sz w:val="20"/>
          <w:szCs w:val="20"/>
        </w:rPr>
        <w:t>Aktivnosti koje uvode promene u upotrebi pesticida;</w:t>
      </w:r>
    </w:p>
    <w:p w14:paraId="7482A379" w14:textId="77777777" w:rsidR="005A7420" w:rsidRPr="004C10F9" w:rsidRDefault="005A7420" w:rsidP="005A7420">
      <w:pPr>
        <w:pStyle w:val="NoSpacing"/>
        <w:numPr>
          <w:ilvl w:val="0"/>
          <w:numId w:val="21"/>
        </w:numPr>
        <w:ind w:left="1080" w:hanging="358"/>
        <w:jc w:val="both"/>
        <w:rPr>
          <w:rFonts w:asciiTheme="minorHAnsi" w:hAnsiTheme="minorHAnsi" w:cstheme="minorHAnsi"/>
          <w:sz w:val="20"/>
          <w:szCs w:val="20"/>
        </w:rPr>
      </w:pPr>
      <w:r w:rsidRPr="004C10F9">
        <w:rPr>
          <w:rFonts w:asciiTheme="minorHAnsi" w:hAnsiTheme="minorHAnsi" w:cstheme="minorHAnsi"/>
          <w:sz w:val="20"/>
          <w:szCs w:val="20"/>
        </w:rPr>
        <w:t>Aktivnosti koje utiču na kulturnu baštinu;</w:t>
      </w:r>
    </w:p>
    <w:p w14:paraId="52C66034" w14:textId="77777777" w:rsidR="005A7420" w:rsidRPr="004C10F9" w:rsidRDefault="005A7420" w:rsidP="005A7420">
      <w:pPr>
        <w:pStyle w:val="NoSpacing"/>
        <w:numPr>
          <w:ilvl w:val="0"/>
          <w:numId w:val="21"/>
        </w:numPr>
        <w:ind w:left="1080" w:hanging="358"/>
        <w:jc w:val="both"/>
        <w:rPr>
          <w:rFonts w:asciiTheme="minorHAnsi" w:hAnsiTheme="minorHAnsi" w:cstheme="minorHAnsi"/>
          <w:sz w:val="20"/>
          <w:szCs w:val="20"/>
        </w:rPr>
      </w:pPr>
      <w:r w:rsidRPr="004C10F9">
        <w:rPr>
          <w:rFonts w:asciiTheme="minorHAnsi" w:hAnsiTheme="minorHAnsi" w:cstheme="minorHAnsi"/>
          <w:sz w:val="20"/>
          <w:szCs w:val="20"/>
        </w:rPr>
        <w:t>Potprojekti koji mogu rezultirati stvaranjem velikih količina opasnog otpada (azbestni otpad, CFL, ostaci olovnih boja, rezervoari kontaminirani lož uljem, itd.) ili posebne vrste opasnog otpada (npr. radioaktivni gromobran);</w:t>
      </w:r>
    </w:p>
    <w:p w14:paraId="1F657F7D" w14:textId="77777777" w:rsidR="005A7420" w:rsidRPr="004C10F9" w:rsidRDefault="005A7420" w:rsidP="005A7420">
      <w:pPr>
        <w:pStyle w:val="NoSpacing"/>
        <w:numPr>
          <w:ilvl w:val="0"/>
          <w:numId w:val="21"/>
        </w:numPr>
        <w:ind w:left="1080" w:hanging="358"/>
        <w:jc w:val="both"/>
        <w:rPr>
          <w:rFonts w:asciiTheme="minorHAnsi" w:hAnsiTheme="minorHAnsi" w:cstheme="minorHAnsi"/>
          <w:sz w:val="20"/>
          <w:szCs w:val="20"/>
        </w:rPr>
      </w:pPr>
      <w:r w:rsidRPr="004C10F9">
        <w:rPr>
          <w:rFonts w:asciiTheme="minorHAnsi" w:hAnsiTheme="minorHAnsi" w:cstheme="minorHAnsi"/>
          <w:sz w:val="20"/>
          <w:szCs w:val="20"/>
        </w:rPr>
        <w:t>Troškovi kamata na dugove;</w:t>
      </w:r>
    </w:p>
    <w:p w14:paraId="13D894A9" w14:textId="77777777" w:rsidR="005A7420" w:rsidRPr="004C10F9" w:rsidRDefault="005A7420" w:rsidP="005A7420">
      <w:pPr>
        <w:pStyle w:val="NoSpacing"/>
        <w:numPr>
          <w:ilvl w:val="0"/>
          <w:numId w:val="21"/>
        </w:numPr>
        <w:ind w:left="1080" w:hanging="358"/>
        <w:jc w:val="both"/>
        <w:rPr>
          <w:rFonts w:asciiTheme="minorHAnsi" w:hAnsiTheme="minorHAnsi" w:cstheme="minorHAnsi"/>
          <w:sz w:val="20"/>
          <w:szCs w:val="20"/>
        </w:rPr>
      </w:pPr>
      <w:r w:rsidRPr="004C10F9">
        <w:rPr>
          <w:rFonts w:asciiTheme="minorHAnsi" w:hAnsiTheme="minorHAnsi" w:cstheme="minorHAnsi"/>
          <w:sz w:val="20"/>
          <w:szCs w:val="20"/>
        </w:rPr>
        <w:t>Kazne, novčane kazne i troškovi sudskog postupka;</w:t>
      </w:r>
    </w:p>
    <w:p w14:paraId="76CBDE59" w14:textId="77777777" w:rsidR="005A7420" w:rsidRPr="004C10F9" w:rsidRDefault="005A7420" w:rsidP="005A7420">
      <w:pPr>
        <w:pStyle w:val="NoSpacing"/>
        <w:numPr>
          <w:ilvl w:val="0"/>
          <w:numId w:val="21"/>
        </w:numPr>
        <w:ind w:left="1080" w:hanging="358"/>
        <w:jc w:val="both"/>
        <w:rPr>
          <w:rFonts w:asciiTheme="minorHAnsi" w:hAnsiTheme="minorHAnsi" w:cstheme="minorHAnsi"/>
          <w:sz w:val="20"/>
          <w:szCs w:val="20"/>
        </w:rPr>
      </w:pPr>
      <w:r w:rsidRPr="004C10F9">
        <w:rPr>
          <w:rFonts w:asciiTheme="minorHAnsi" w:hAnsiTheme="minorHAnsi" w:cstheme="minorHAnsi"/>
          <w:sz w:val="20"/>
          <w:szCs w:val="20"/>
        </w:rPr>
        <w:t>Isplata bonusa zaposlenima;</w:t>
      </w:r>
    </w:p>
    <w:p w14:paraId="061DFD10" w14:textId="77777777" w:rsidR="005A7420" w:rsidRPr="004C10F9" w:rsidRDefault="005A7420" w:rsidP="005A7420">
      <w:pPr>
        <w:pStyle w:val="NoSpacing"/>
        <w:numPr>
          <w:ilvl w:val="0"/>
          <w:numId w:val="21"/>
        </w:numPr>
        <w:ind w:left="1080" w:hanging="358"/>
        <w:jc w:val="both"/>
        <w:rPr>
          <w:rFonts w:asciiTheme="minorHAnsi" w:hAnsiTheme="minorHAnsi" w:cstheme="minorHAnsi"/>
          <w:sz w:val="20"/>
          <w:szCs w:val="20"/>
        </w:rPr>
      </w:pPr>
      <w:r w:rsidRPr="004C10F9">
        <w:rPr>
          <w:rFonts w:asciiTheme="minorHAnsi" w:hAnsiTheme="minorHAnsi" w:cstheme="minorHAnsi"/>
          <w:sz w:val="20"/>
          <w:szCs w:val="20"/>
        </w:rPr>
        <w:t>Troškovi koji su već spremni za finansiranje iz javnih izvora ili troškovi u periodu trajanja projekta finansirani iz drugih izvora;</w:t>
      </w:r>
    </w:p>
    <w:p w14:paraId="478204B0" w14:textId="77777777" w:rsidR="005A7420" w:rsidRPr="004C10F9" w:rsidRDefault="005A7420" w:rsidP="005A7420">
      <w:pPr>
        <w:pStyle w:val="NoSpacing"/>
        <w:numPr>
          <w:ilvl w:val="0"/>
          <w:numId w:val="21"/>
        </w:numPr>
        <w:ind w:left="1080" w:hanging="358"/>
        <w:jc w:val="both"/>
        <w:rPr>
          <w:rFonts w:asciiTheme="minorHAnsi" w:hAnsiTheme="minorHAnsi" w:cstheme="minorHAnsi"/>
          <w:sz w:val="20"/>
          <w:szCs w:val="20"/>
        </w:rPr>
      </w:pPr>
      <w:r w:rsidRPr="004C10F9">
        <w:rPr>
          <w:rFonts w:asciiTheme="minorHAnsi" w:hAnsiTheme="minorHAnsi" w:cstheme="minorHAnsi"/>
          <w:sz w:val="20"/>
          <w:szCs w:val="20"/>
        </w:rPr>
        <w:t>Troškovi koji nisu pokriveni ugovorom (ugovorom sa pružaocem finansijske podrške);</w:t>
      </w:r>
    </w:p>
    <w:p w14:paraId="61FA9E6A" w14:textId="77777777" w:rsidR="005A7420" w:rsidRPr="004C10F9" w:rsidRDefault="005A7420" w:rsidP="005A7420">
      <w:pPr>
        <w:pStyle w:val="NoSpacing"/>
        <w:numPr>
          <w:ilvl w:val="0"/>
          <w:numId w:val="21"/>
        </w:numPr>
        <w:ind w:left="1080" w:hanging="358"/>
        <w:jc w:val="both"/>
        <w:rPr>
          <w:rFonts w:asciiTheme="minorHAnsi" w:hAnsiTheme="minorHAnsi" w:cstheme="minorHAnsi"/>
          <w:sz w:val="20"/>
          <w:szCs w:val="20"/>
        </w:rPr>
      </w:pPr>
      <w:r w:rsidRPr="004C10F9">
        <w:rPr>
          <w:rFonts w:asciiTheme="minorHAnsi" w:hAnsiTheme="minorHAnsi" w:cstheme="minorHAnsi"/>
          <w:sz w:val="20"/>
          <w:szCs w:val="20"/>
        </w:rPr>
        <w:t>Dobrotvorne donacije;</w:t>
      </w:r>
    </w:p>
    <w:p w14:paraId="669C3779" w14:textId="77777777" w:rsidR="005A7420" w:rsidRPr="004C10F9" w:rsidRDefault="005A7420" w:rsidP="005A7420">
      <w:pPr>
        <w:pStyle w:val="NoSpacing"/>
        <w:numPr>
          <w:ilvl w:val="0"/>
          <w:numId w:val="21"/>
        </w:numPr>
        <w:ind w:left="1080" w:hanging="358"/>
        <w:jc w:val="both"/>
        <w:rPr>
          <w:rFonts w:asciiTheme="minorHAnsi" w:hAnsiTheme="minorHAnsi" w:cstheme="minorHAnsi"/>
          <w:sz w:val="20"/>
          <w:szCs w:val="20"/>
        </w:rPr>
      </w:pPr>
      <w:r w:rsidRPr="004C10F9">
        <w:rPr>
          <w:rFonts w:asciiTheme="minorHAnsi" w:hAnsiTheme="minorHAnsi" w:cstheme="minorHAnsi"/>
          <w:sz w:val="20"/>
          <w:szCs w:val="20"/>
        </w:rPr>
        <w:t>Krediti drugim organizacijama ili pojedincima;</w:t>
      </w:r>
    </w:p>
    <w:p w14:paraId="12091D89" w14:textId="77777777" w:rsidR="005A7420" w:rsidRPr="004C10F9" w:rsidRDefault="005A7420" w:rsidP="005A7420">
      <w:pPr>
        <w:pStyle w:val="NoSpacing"/>
        <w:numPr>
          <w:ilvl w:val="0"/>
          <w:numId w:val="21"/>
        </w:numPr>
        <w:ind w:left="1080" w:hanging="358"/>
        <w:jc w:val="both"/>
        <w:rPr>
          <w:rFonts w:asciiTheme="minorHAnsi" w:hAnsiTheme="minorHAnsi" w:cstheme="minorHAnsi"/>
          <w:sz w:val="20"/>
          <w:szCs w:val="20"/>
        </w:rPr>
      </w:pPr>
      <w:r w:rsidRPr="004C10F9">
        <w:rPr>
          <w:rFonts w:asciiTheme="minorHAnsi" w:hAnsiTheme="minorHAnsi" w:cstheme="minorHAnsi"/>
          <w:sz w:val="20"/>
          <w:szCs w:val="20"/>
        </w:rPr>
        <w:t>Neće se finansirati nova gradnja; i</w:t>
      </w:r>
    </w:p>
    <w:p w14:paraId="02BEDEEC" w14:textId="77777777" w:rsidR="005A7420" w:rsidRPr="00586DCF" w:rsidRDefault="005A7420" w:rsidP="005A7420">
      <w:pPr>
        <w:pStyle w:val="NoSpacing"/>
        <w:numPr>
          <w:ilvl w:val="0"/>
          <w:numId w:val="21"/>
        </w:numPr>
        <w:ind w:left="1080" w:hanging="358"/>
        <w:jc w:val="both"/>
        <w:rPr>
          <w:rFonts w:cstheme="minorHAnsi"/>
          <w:sz w:val="20"/>
          <w:szCs w:val="20"/>
        </w:rPr>
      </w:pPr>
      <w:r w:rsidRPr="004C10F9">
        <w:rPr>
          <w:rFonts w:asciiTheme="minorHAnsi" w:hAnsiTheme="minorHAnsi" w:cstheme="minorHAnsi"/>
          <w:sz w:val="20"/>
          <w:szCs w:val="20"/>
        </w:rPr>
        <w:t>Ostali troškovi koji nisu direktno povezani sa sadržajem i ciljevima projekta</w:t>
      </w:r>
      <w:r w:rsidRPr="00586DCF">
        <w:rPr>
          <w:rFonts w:cstheme="minorHAnsi"/>
          <w:sz w:val="20"/>
          <w:szCs w:val="20"/>
        </w:rPr>
        <w:t>.</w:t>
      </w:r>
    </w:p>
    <w:p w14:paraId="6F7AC884" w14:textId="77777777" w:rsidR="005A7420" w:rsidRPr="00586DCF" w:rsidRDefault="005A7420" w:rsidP="005A7420">
      <w:pPr>
        <w:pStyle w:val="NoSpacing"/>
        <w:jc w:val="both"/>
        <w:rPr>
          <w:rFonts w:cstheme="minorHAnsi"/>
          <w:sz w:val="20"/>
          <w:szCs w:val="20"/>
        </w:rPr>
      </w:pPr>
    </w:p>
    <w:p w14:paraId="546B666B" w14:textId="77777777" w:rsidR="005A7420" w:rsidRPr="00586DCF" w:rsidRDefault="005A7420" w:rsidP="005A7420">
      <w:pPr>
        <w:keepNext/>
        <w:spacing w:after="240"/>
        <w:jc w:val="both"/>
        <w:rPr>
          <w:rFonts w:cstheme="minorHAnsi"/>
          <w:sz w:val="20"/>
          <w:szCs w:val="20"/>
        </w:rPr>
      </w:pPr>
      <w:r w:rsidRPr="004C10F9">
        <w:rPr>
          <w:rFonts w:cstheme="minorHAnsi"/>
          <w:sz w:val="20"/>
          <w:szCs w:val="20"/>
        </w:rPr>
        <w:t>Lista isključenja mera zaštite Svetske banke</w:t>
      </w:r>
      <w:r w:rsidRPr="00586DCF">
        <w:rPr>
          <w:rFonts w:cstheme="minorHAnsi"/>
          <w:sz w:val="20"/>
          <w:szCs w:val="20"/>
        </w:rPr>
        <w:t>:</w:t>
      </w:r>
    </w:p>
    <w:p w14:paraId="3744E805" w14:textId="77777777" w:rsidR="005A7420" w:rsidRPr="004C10F9" w:rsidRDefault="005A7420" w:rsidP="005A7420">
      <w:pPr>
        <w:pStyle w:val="NoSpacing"/>
        <w:numPr>
          <w:ilvl w:val="0"/>
          <w:numId w:val="21"/>
        </w:numPr>
        <w:ind w:left="1080" w:hanging="358"/>
        <w:jc w:val="both"/>
        <w:rPr>
          <w:rFonts w:cstheme="minorHAnsi"/>
          <w:sz w:val="20"/>
          <w:szCs w:val="20"/>
        </w:rPr>
      </w:pPr>
      <w:r w:rsidRPr="004C10F9">
        <w:rPr>
          <w:rFonts w:cstheme="minorHAnsi"/>
          <w:sz w:val="20"/>
          <w:szCs w:val="20"/>
        </w:rPr>
        <w:t>Trgovina divljim životinjama i proizvodima od divljih životinja zabranjena prema CITES konvenciji,</w:t>
      </w:r>
    </w:p>
    <w:p w14:paraId="6985D6CA" w14:textId="77777777" w:rsidR="005A7420" w:rsidRPr="004C10F9" w:rsidRDefault="005A7420" w:rsidP="005A7420">
      <w:pPr>
        <w:pStyle w:val="NoSpacing"/>
        <w:numPr>
          <w:ilvl w:val="0"/>
          <w:numId w:val="21"/>
        </w:numPr>
        <w:ind w:left="1080" w:hanging="358"/>
        <w:jc w:val="both"/>
        <w:rPr>
          <w:rFonts w:cstheme="minorHAnsi"/>
          <w:sz w:val="20"/>
          <w:szCs w:val="20"/>
        </w:rPr>
      </w:pPr>
      <w:r w:rsidRPr="004C10F9">
        <w:rPr>
          <w:rFonts w:cstheme="minorHAnsi"/>
          <w:sz w:val="20"/>
          <w:szCs w:val="20"/>
        </w:rPr>
        <w:t>Puštanje genetski izmenjenih organizama u prirodnu sredinu,</w:t>
      </w:r>
    </w:p>
    <w:p w14:paraId="4E8DEE74" w14:textId="77777777" w:rsidR="005A7420" w:rsidRPr="004C10F9" w:rsidRDefault="005A7420" w:rsidP="005A7420">
      <w:pPr>
        <w:pStyle w:val="NoSpacing"/>
        <w:numPr>
          <w:ilvl w:val="0"/>
          <w:numId w:val="21"/>
        </w:numPr>
        <w:ind w:left="1080" w:hanging="358"/>
        <w:jc w:val="both"/>
        <w:rPr>
          <w:rFonts w:cstheme="minorHAnsi"/>
          <w:sz w:val="20"/>
          <w:szCs w:val="20"/>
        </w:rPr>
      </w:pPr>
      <w:r w:rsidRPr="004C10F9">
        <w:rPr>
          <w:rFonts w:cstheme="minorHAnsi"/>
          <w:sz w:val="20"/>
          <w:szCs w:val="20"/>
        </w:rPr>
        <w:t>Proizvodnja, distribucija i prodaja zabranjenih pesticida i herbicida,</w:t>
      </w:r>
    </w:p>
    <w:p w14:paraId="3601C7A3" w14:textId="77777777" w:rsidR="005A7420" w:rsidRPr="004C10F9" w:rsidRDefault="005A7420" w:rsidP="005A7420">
      <w:pPr>
        <w:pStyle w:val="NoSpacing"/>
        <w:numPr>
          <w:ilvl w:val="0"/>
          <w:numId w:val="21"/>
        </w:numPr>
        <w:ind w:left="1080" w:hanging="358"/>
        <w:jc w:val="both"/>
        <w:rPr>
          <w:rFonts w:cstheme="minorHAnsi"/>
          <w:sz w:val="20"/>
          <w:szCs w:val="20"/>
        </w:rPr>
      </w:pPr>
      <w:r w:rsidRPr="004C10F9">
        <w:rPr>
          <w:rFonts w:cstheme="minorHAnsi"/>
          <w:sz w:val="20"/>
          <w:szCs w:val="20"/>
        </w:rPr>
        <w:t>Lebdeće plivarice u slatkovodnim staništima,</w:t>
      </w:r>
    </w:p>
    <w:p w14:paraId="7D54767A" w14:textId="77777777" w:rsidR="005A7420" w:rsidRPr="004C10F9" w:rsidRDefault="005A7420" w:rsidP="005A7420">
      <w:pPr>
        <w:pStyle w:val="NoSpacing"/>
        <w:numPr>
          <w:ilvl w:val="0"/>
          <w:numId w:val="21"/>
        </w:numPr>
        <w:ind w:left="1080" w:hanging="358"/>
        <w:jc w:val="both"/>
        <w:rPr>
          <w:rFonts w:cstheme="minorHAnsi"/>
          <w:sz w:val="20"/>
          <w:szCs w:val="20"/>
        </w:rPr>
      </w:pPr>
      <w:r w:rsidRPr="004C10F9">
        <w:rPr>
          <w:rFonts w:cstheme="minorHAnsi"/>
          <w:sz w:val="20"/>
          <w:szCs w:val="20"/>
        </w:rPr>
        <w:t>Proizvodnja, rukovanje i odlaganje radioaktivnih proizvoda,</w:t>
      </w:r>
    </w:p>
    <w:p w14:paraId="2C52245A" w14:textId="77777777" w:rsidR="005A7420" w:rsidRPr="004C10F9" w:rsidRDefault="005A7420" w:rsidP="005A7420">
      <w:pPr>
        <w:pStyle w:val="NoSpacing"/>
        <w:numPr>
          <w:ilvl w:val="0"/>
          <w:numId w:val="21"/>
        </w:numPr>
        <w:ind w:left="1080" w:hanging="358"/>
        <w:jc w:val="both"/>
        <w:rPr>
          <w:rFonts w:cstheme="minorHAnsi"/>
          <w:sz w:val="20"/>
          <w:szCs w:val="20"/>
        </w:rPr>
      </w:pPr>
      <w:r w:rsidRPr="004C10F9">
        <w:rPr>
          <w:rFonts w:cstheme="minorHAnsi"/>
          <w:sz w:val="20"/>
          <w:szCs w:val="20"/>
        </w:rPr>
        <w:t>Skladištenje, tretman i odlaganje opasnog otpada,</w:t>
      </w:r>
    </w:p>
    <w:p w14:paraId="66495840" w14:textId="77777777" w:rsidR="005A7420" w:rsidRPr="004C10F9" w:rsidRDefault="005A7420" w:rsidP="005A7420">
      <w:pPr>
        <w:pStyle w:val="NoSpacing"/>
        <w:numPr>
          <w:ilvl w:val="0"/>
          <w:numId w:val="21"/>
        </w:numPr>
        <w:ind w:left="1080" w:hanging="358"/>
        <w:jc w:val="both"/>
        <w:rPr>
          <w:rFonts w:cstheme="minorHAnsi"/>
          <w:sz w:val="20"/>
          <w:szCs w:val="20"/>
        </w:rPr>
      </w:pPr>
      <w:r w:rsidRPr="004C10F9">
        <w:rPr>
          <w:rFonts w:cstheme="minorHAnsi"/>
          <w:sz w:val="20"/>
          <w:szCs w:val="20"/>
        </w:rPr>
        <w:t>Proizvodnja opreme i uređaja koji sadrže CFC, halone i druge supstance regulisane Montrealskim protokolom,</w:t>
      </w:r>
    </w:p>
    <w:p w14:paraId="26CB7B00" w14:textId="77777777" w:rsidR="005A7420" w:rsidRPr="004C10F9" w:rsidRDefault="005A7420" w:rsidP="005A7420">
      <w:pPr>
        <w:pStyle w:val="NoSpacing"/>
        <w:numPr>
          <w:ilvl w:val="0"/>
          <w:numId w:val="21"/>
        </w:numPr>
        <w:ind w:left="1080" w:hanging="358"/>
        <w:jc w:val="both"/>
        <w:rPr>
          <w:rFonts w:cstheme="minorHAnsi"/>
          <w:sz w:val="20"/>
          <w:szCs w:val="20"/>
        </w:rPr>
      </w:pPr>
      <w:r w:rsidRPr="004C10F9">
        <w:rPr>
          <w:rFonts w:cstheme="minorHAnsi"/>
          <w:sz w:val="20"/>
          <w:szCs w:val="20"/>
        </w:rPr>
        <w:lastRenderedPageBreak/>
        <w:t>Proizvodnja električne opreme koja sadrži polihlorisane bifenile (PCB) više od 0,005 % po težini,</w:t>
      </w:r>
    </w:p>
    <w:p w14:paraId="673A6A1E" w14:textId="77777777" w:rsidR="005A7420" w:rsidRPr="004C10F9" w:rsidRDefault="005A7420" w:rsidP="005A7420">
      <w:pPr>
        <w:pStyle w:val="NoSpacing"/>
        <w:numPr>
          <w:ilvl w:val="0"/>
          <w:numId w:val="21"/>
        </w:numPr>
        <w:ind w:left="1080" w:hanging="358"/>
        <w:jc w:val="both"/>
        <w:rPr>
          <w:rFonts w:cstheme="minorHAnsi"/>
          <w:sz w:val="20"/>
          <w:szCs w:val="20"/>
        </w:rPr>
      </w:pPr>
      <w:r w:rsidRPr="004C10F9">
        <w:rPr>
          <w:rFonts w:cstheme="minorHAnsi"/>
          <w:sz w:val="20"/>
          <w:szCs w:val="20"/>
        </w:rPr>
        <w:t>Proizvodnja proizvoda koji sadrže azbest,</w:t>
      </w:r>
    </w:p>
    <w:p w14:paraId="4705E6CD" w14:textId="77777777" w:rsidR="005A7420" w:rsidRPr="004C10F9" w:rsidRDefault="005A7420" w:rsidP="005A7420">
      <w:pPr>
        <w:pStyle w:val="NoSpacing"/>
        <w:numPr>
          <w:ilvl w:val="0"/>
          <w:numId w:val="21"/>
        </w:numPr>
        <w:ind w:left="1080" w:hanging="358"/>
        <w:jc w:val="both"/>
        <w:rPr>
          <w:rFonts w:cstheme="minorHAnsi"/>
          <w:sz w:val="20"/>
          <w:szCs w:val="20"/>
        </w:rPr>
      </w:pPr>
      <w:r w:rsidRPr="004C10F9">
        <w:rPr>
          <w:rFonts w:cstheme="minorHAnsi"/>
          <w:sz w:val="20"/>
          <w:szCs w:val="20"/>
        </w:rPr>
        <w:t>Nuklearni reaktori i njihovi delovi,</w:t>
      </w:r>
    </w:p>
    <w:p w14:paraId="48742183" w14:textId="77777777" w:rsidR="005A7420" w:rsidRPr="004C10F9" w:rsidRDefault="005A7420" w:rsidP="005A7420">
      <w:pPr>
        <w:pStyle w:val="NoSpacing"/>
        <w:numPr>
          <w:ilvl w:val="0"/>
          <w:numId w:val="21"/>
        </w:numPr>
        <w:ind w:left="1080" w:hanging="358"/>
        <w:jc w:val="both"/>
        <w:rPr>
          <w:rFonts w:cstheme="minorHAnsi"/>
          <w:sz w:val="20"/>
          <w:szCs w:val="20"/>
        </w:rPr>
      </w:pPr>
      <w:r w:rsidRPr="004C10F9">
        <w:rPr>
          <w:rFonts w:cstheme="minorHAnsi"/>
          <w:sz w:val="20"/>
          <w:szCs w:val="20"/>
        </w:rPr>
        <w:t>Duvan, neproizveden ili proizveden,</w:t>
      </w:r>
    </w:p>
    <w:p w14:paraId="2A366CAB" w14:textId="77777777" w:rsidR="005A7420" w:rsidRPr="004C10F9" w:rsidRDefault="005A7420" w:rsidP="005A7420">
      <w:pPr>
        <w:pStyle w:val="NoSpacing"/>
        <w:numPr>
          <w:ilvl w:val="0"/>
          <w:numId w:val="21"/>
        </w:numPr>
        <w:ind w:left="1080" w:hanging="358"/>
        <w:jc w:val="both"/>
        <w:rPr>
          <w:rFonts w:cstheme="minorHAnsi"/>
          <w:sz w:val="20"/>
          <w:szCs w:val="20"/>
        </w:rPr>
      </w:pPr>
      <w:r w:rsidRPr="004C10F9">
        <w:rPr>
          <w:rFonts w:cstheme="minorHAnsi"/>
          <w:sz w:val="20"/>
          <w:szCs w:val="20"/>
        </w:rPr>
        <w:t>Mašine za preradu duvana, i</w:t>
      </w:r>
    </w:p>
    <w:p w14:paraId="04F399F1" w14:textId="77777777" w:rsidR="005A7420" w:rsidRPr="00586DCF" w:rsidRDefault="005A7420" w:rsidP="005A7420">
      <w:pPr>
        <w:pStyle w:val="NoSpacing"/>
        <w:numPr>
          <w:ilvl w:val="0"/>
          <w:numId w:val="21"/>
        </w:numPr>
        <w:ind w:left="1080" w:hanging="358"/>
        <w:jc w:val="both"/>
        <w:rPr>
          <w:rFonts w:cstheme="minorHAnsi"/>
          <w:sz w:val="20"/>
          <w:szCs w:val="20"/>
        </w:rPr>
      </w:pPr>
      <w:r w:rsidRPr="004C10F9">
        <w:rPr>
          <w:rFonts w:cstheme="minorHAnsi"/>
          <w:sz w:val="20"/>
          <w:szCs w:val="20"/>
        </w:rPr>
        <w:t>Proizvodnja vatrenog oružja</w:t>
      </w:r>
      <w:r w:rsidRPr="00586DCF">
        <w:rPr>
          <w:rFonts w:cstheme="minorHAnsi"/>
          <w:sz w:val="20"/>
          <w:szCs w:val="20"/>
        </w:rPr>
        <w:t>.</w:t>
      </w:r>
    </w:p>
    <w:p w14:paraId="10656069" w14:textId="77777777" w:rsidR="005A7420" w:rsidRPr="00586DCF" w:rsidRDefault="005A7420" w:rsidP="005A7420">
      <w:pPr>
        <w:widowControl w:val="0"/>
        <w:autoSpaceDE w:val="0"/>
        <w:autoSpaceDN w:val="0"/>
        <w:adjustRightInd w:val="0"/>
        <w:spacing w:line="240" w:lineRule="auto"/>
        <w:jc w:val="both"/>
        <w:rPr>
          <w:rFonts w:eastAsia="Calibri" w:cstheme="minorHAnsi"/>
          <w:sz w:val="20"/>
          <w:szCs w:val="20"/>
        </w:rPr>
      </w:pPr>
    </w:p>
    <w:p w14:paraId="1C3055EB" w14:textId="77777777" w:rsidR="005A7420" w:rsidRPr="00586DCF" w:rsidRDefault="005A7420" w:rsidP="001C59B7">
      <w:pPr>
        <w:pStyle w:val="Heading2"/>
      </w:pPr>
      <w:bookmarkStart w:id="19" w:name="_Toc101439452"/>
      <w:r w:rsidRPr="001E72EA">
        <w:t>VREMENSKI OKVIR I BUDŽET</w:t>
      </w:r>
      <w:bookmarkEnd w:id="19"/>
    </w:p>
    <w:p w14:paraId="055CCD93" w14:textId="42955460" w:rsidR="005A7420" w:rsidRPr="00586DCF" w:rsidRDefault="005A7420" w:rsidP="005A7420">
      <w:pPr>
        <w:jc w:val="both"/>
        <w:rPr>
          <w:sz w:val="20"/>
          <w:szCs w:val="20"/>
        </w:rPr>
      </w:pPr>
      <w:r w:rsidRPr="004C10F9">
        <w:rPr>
          <w:sz w:val="20"/>
          <w:szCs w:val="20"/>
        </w:rPr>
        <w:t xml:space="preserve">Neformalne grupe mladih imaće pravo da se prijave za finansiranje 6-12 meseci u zavisnosti od veličine i vrste investicije. Minimalni budžet za finansiranje iz ovog poziva za jedan grant je </w:t>
      </w:r>
      <w:r w:rsidRPr="000A7FA1">
        <w:rPr>
          <w:sz w:val="20"/>
          <w:szCs w:val="20"/>
        </w:rPr>
        <w:t xml:space="preserve">6000 američkih dolara, dok maksimalni budžet koji se traži za finansiranje iz ovog poziva za jedan grant ne bi trebao biti veći od </w:t>
      </w:r>
      <w:r w:rsidR="000A7FA1" w:rsidRPr="000A7FA1">
        <w:rPr>
          <w:sz w:val="20"/>
          <w:szCs w:val="20"/>
        </w:rPr>
        <w:t xml:space="preserve">15000 </w:t>
      </w:r>
      <w:r w:rsidRPr="000A7FA1">
        <w:rPr>
          <w:sz w:val="20"/>
          <w:szCs w:val="20"/>
        </w:rPr>
        <w:t>američkih dolara.</w:t>
      </w:r>
    </w:p>
    <w:p w14:paraId="54473287" w14:textId="77777777" w:rsidR="005A7420" w:rsidRPr="00586DCF" w:rsidRDefault="005A7420" w:rsidP="005A7420">
      <w:pPr>
        <w:jc w:val="both"/>
        <w:rPr>
          <w:sz w:val="20"/>
          <w:szCs w:val="20"/>
        </w:rPr>
      </w:pPr>
    </w:p>
    <w:p w14:paraId="4A6A52BD" w14:textId="77777777" w:rsidR="005A7420" w:rsidRPr="00586DCF" w:rsidRDefault="005A7420" w:rsidP="005A7420">
      <w:pPr>
        <w:jc w:val="both"/>
        <w:rPr>
          <w:sz w:val="20"/>
          <w:szCs w:val="20"/>
        </w:rPr>
      </w:pPr>
    </w:p>
    <w:p w14:paraId="6BF4F380" w14:textId="77777777" w:rsidR="005A7420" w:rsidRPr="00586DCF" w:rsidRDefault="005A7420" w:rsidP="005A7420">
      <w:pPr>
        <w:jc w:val="both"/>
        <w:rPr>
          <w:sz w:val="20"/>
          <w:szCs w:val="20"/>
        </w:rPr>
      </w:pPr>
    </w:p>
    <w:p w14:paraId="2F2E6359" w14:textId="77777777" w:rsidR="005A7420" w:rsidRPr="00586DCF" w:rsidRDefault="005A7420" w:rsidP="005A7420">
      <w:pPr>
        <w:jc w:val="both"/>
        <w:rPr>
          <w:sz w:val="20"/>
          <w:szCs w:val="20"/>
        </w:rPr>
      </w:pPr>
    </w:p>
    <w:p w14:paraId="21A60BE6" w14:textId="77777777" w:rsidR="005A7420" w:rsidRPr="00586DCF" w:rsidRDefault="005A7420" w:rsidP="005A7420">
      <w:pPr>
        <w:jc w:val="both"/>
        <w:rPr>
          <w:sz w:val="20"/>
          <w:szCs w:val="20"/>
        </w:rPr>
      </w:pPr>
    </w:p>
    <w:p w14:paraId="7A2343BA" w14:textId="77777777" w:rsidR="005A7420" w:rsidRPr="00586DCF" w:rsidRDefault="005A7420" w:rsidP="005A7420">
      <w:pPr>
        <w:widowControl w:val="0"/>
        <w:autoSpaceDE w:val="0"/>
        <w:autoSpaceDN w:val="0"/>
        <w:adjustRightInd w:val="0"/>
        <w:spacing w:line="240" w:lineRule="auto"/>
        <w:rPr>
          <w:rFonts w:cstheme="minorHAnsi"/>
          <w:bCs/>
          <w:sz w:val="20"/>
          <w:szCs w:val="20"/>
        </w:rPr>
      </w:pPr>
    </w:p>
    <w:p w14:paraId="35EA3A38" w14:textId="77777777" w:rsidR="005A7420" w:rsidRPr="00586DCF" w:rsidRDefault="005A7420" w:rsidP="005A7420">
      <w:pPr>
        <w:widowControl w:val="0"/>
        <w:autoSpaceDE w:val="0"/>
        <w:autoSpaceDN w:val="0"/>
        <w:adjustRightInd w:val="0"/>
        <w:spacing w:line="240" w:lineRule="auto"/>
        <w:rPr>
          <w:rFonts w:cstheme="minorHAnsi"/>
          <w:bCs/>
          <w:sz w:val="20"/>
          <w:szCs w:val="20"/>
        </w:rPr>
      </w:pPr>
    </w:p>
    <w:p w14:paraId="75C855B9" w14:textId="77777777" w:rsidR="005A7420" w:rsidRDefault="005A7420" w:rsidP="005A7420">
      <w:pPr>
        <w:widowControl w:val="0"/>
        <w:autoSpaceDE w:val="0"/>
        <w:autoSpaceDN w:val="0"/>
        <w:adjustRightInd w:val="0"/>
        <w:spacing w:line="240" w:lineRule="auto"/>
        <w:rPr>
          <w:rFonts w:cstheme="minorHAnsi"/>
          <w:bCs/>
          <w:sz w:val="20"/>
          <w:szCs w:val="20"/>
        </w:rPr>
      </w:pPr>
    </w:p>
    <w:p w14:paraId="218DA32E" w14:textId="77777777" w:rsidR="005A7420" w:rsidRDefault="005A7420" w:rsidP="005A7420">
      <w:pPr>
        <w:widowControl w:val="0"/>
        <w:autoSpaceDE w:val="0"/>
        <w:autoSpaceDN w:val="0"/>
        <w:adjustRightInd w:val="0"/>
        <w:spacing w:line="240" w:lineRule="auto"/>
        <w:rPr>
          <w:rFonts w:cstheme="minorHAnsi"/>
          <w:bCs/>
          <w:sz w:val="20"/>
          <w:szCs w:val="20"/>
        </w:rPr>
      </w:pPr>
    </w:p>
    <w:p w14:paraId="51B9D0AF" w14:textId="77777777" w:rsidR="005A7420" w:rsidRDefault="005A7420" w:rsidP="005A7420">
      <w:pPr>
        <w:widowControl w:val="0"/>
        <w:autoSpaceDE w:val="0"/>
        <w:autoSpaceDN w:val="0"/>
        <w:adjustRightInd w:val="0"/>
        <w:spacing w:line="240" w:lineRule="auto"/>
        <w:rPr>
          <w:rFonts w:cstheme="minorHAnsi"/>
          <w:bCs/>
          <w:sz w:val="20"/>
          <w:szCs w:val="20"/>
        </w:rPr>
      </w:pPr>
    </w:p>
    <w:p w14:paraId="6087B385" w14:textId="77777777" w:rsidR="005A7420" w:rsidRDefault="005A7420" w:rsidP="005A7420">
      <w:pPr>
        <w:widowControl w:val="0"/>
        <w:autoSpaceDE w:val="0"/>
        <w:autoSpaceDN w:val="0"/>
        <w:adjustRightInd w:val="0"/>
        <w:spacing w:line="240" w:lineRule="auto"/>
        <w:rPr>
          <w:rFonts w:cstheme="minorHAnsi"/>
          <w:bCs/>
          <w:sz w:val="20"/>
          <w:szCs w:val="20"/>
        </w:rPr>
      </w:pPr>
    </w:p>
    <w:p w14:paraId="50FEEF60" w14:textId="77777777" w:rsidR="005A7420" w:rsidRPr="00586DCF" w:rsidRDefault="005A7420" w:rsidP="005A7420">
      <w:pPr>
        <w:widowControl w:val="0"/>
        <w:autoSpaceDE w:val="0"/>
        <w:autoSpaceDN w:val="0"/>
        <w:adjustRightInd w:val="0"/>
        <w:spacing w:line="240" w:lineRule="auto"/>
        <w:rPr>
          <w:rFonts w:cstheme="minorHAnsi"/>
          <w:bCs/>
          <w:sz w:val="20"/>
          <w:szCs w:val="20"/>
        </w:rPr>
      </w:pPr>
    </w:p>
    <w:p w14:paraId="5F320B97" w14:textId="77777777" w:rsidR="005A7420" w:rsidRPr="00586DCF" w:rsidRDefault="005A7420" w:rsidP="005A7420">
      <w:pPr>
        <w:widowControl w:val="0"/>
        <w:autoSpaceDE w:val="0"/>
        <w:autoSpaceDN w:val="0"/>
        <w:adjustRightInd w:val="0"/>
        <w:spacing w:line="240" w:lineRule="auto"/>
        <w:rPr>
          <w:rFonts w:cstheme="minorHAnsi"/>
          <w:bCs/>
          <w:sz w:val="20"/>
          <w:szCs w:val="20"/>
        </w:rPr>
      </w:pPr>
    </w:p>
    <w:p w14:paraId="1DF39845" w14:textId="77777777" w:rsidR="005A7420" w:rsidRPr="00586DCF" w:rsidRDefault="005A7420" w:rsidP="005A7420">
      <w:pPr>
        <w:widowControl w:val="0"/>
        <w:autoSpaceDE w:val="0"/>
        <w:autoSpaceDN w:val="0"/>
        <w:adjustRightInd w:val="0"/>
        <w:spacing w:line="240" w:lineRule="auto"/>
        <w:rPr>
          <w:rFonts w:cstheme="minorHAnsi"/>
          <w:bCs/>
          <w:sz w:val="20"/>
          <w:szCs w:val="20"/>
        </w:rPr>
      </w:pPr>
    </w:p>
    <w:p w14:paraId="25253E93" w14:textId="77777777" w:rsidR="005A7420" w:rsidRPr="00586DCF" w:rsidRDefault="005A7420" w:rsidP="005A7420">
      <w:pPr>
        <w:widowControl w:val="0"/>
        <w:autoSpaceDE w:val="0"/>
        <w:autoSpaceDN w:val="0"/>
        <w:adjustRightInd w:val="0"/>
        <w:spacing w:line="240" w:lineRule="auto"/>
        <w:rPr>
          <w:rFonts w:cstheme="minorHAnsi"/>
          <w:bCs/>
          <w:sz w:val="20"/>
          <w:szCs w:val="20"/>
        </w:rPr>
      </w:pPr>
    </w:p>
    <w:p w14:paraId="20DE4706" w14:textId="77777777" w:rsidR="005A7420" w:rsidRPr="00586DCF" w:rsidRDefault="005A7420" w:rsidP="005A7420">
      <w:pPr>
        <w:widowControl w:val="0"/>
        <w:autoSpaceDE w:val="0"/>
        <w:autoSpaceDN w:val="0"/>
        <w:adjustRightInd w:val="0"/>
        <w:spacing w:line="240" w:lineRule="auto"/>
        <w:rPr>
          <w:rFonts w:cstheme="minorHAnsi"/>
          <w:bCs/>
          <w:sz w:val="20"/>
          <w:szCs w:val="20"/>
        </w:rPr>
      </w:pPr>
    </w:p>
    <w:p w14:paraId="0A577ECF" w14:textId="77777777" w:rsidR="005A7420" w:rsidRPr="00586DCF" w:rsidRDefault="005A7420" w:rsidP="005A7420">
      <w:pPr>
        <w:widowControl w:val="0"/>
        <w:autoSpaceDE w:val="0"/>
        <w:autoSpaceDN w:val="0"/>
        <w:adjustRightInd w:val="0"/>
        <w:spacing w:line="240" w:lineRule="auto"/>
        <w:rPr>
          <w:rFonts w:cstheme="minorHAnsi"/>
          <w:bCs/>
          <w:sz w:val="20"/>
          <w:szCs w:val="20"/>
        </w:rPr>
      </w:pPr>
    </w:p>
    <w:p w14:paraId="59A88591" w14:textId="77777777" w:rsidR="005A7420" w:rsidRPr="00586DCF" w:rsidRDefault="005A7420" w:rsidP="005A7420">
      <w:pPr>
        <w:widowControl w:val="0"/>
        <w:autoSpaceDE w:val="0"/>
        <w:autoSpaceDN w:val="0"/>
        <w:adjustRightInd w:val="0"/>
        <w:spacing w:line="240" w:lineRule="auto"/>
        <w:rPr>
          <w:rFonts w:cstheme="minorHAnsi"/>
          <w:bCs/>
          <w:sz w:val="20"/>
          <w:szCs w:val="20"/>
        </w:rPr>
      </w:pPr>
    </w:p>
    <w:p w14:paraId="3118F89F" w14:textId="77777777" w:rsidR="005A7420" w:rsidRPr="00586DCF" w:rsidRDefault="005A7420" w:rsidP="005A7420">
      <w:pPr>
        <w:widowControl w:val="0"/>
        <w:autoSpaceDE w:val="0"/>
        <w:autoSpaceDN w:val="0"/>
        <w:adjustRightInd w:val="0"/>
        <w:spacing w:line="240" w:lineRule="auto"/>
        <w:rPr>
          <w:rFonts w:cstheme="minorHAnsi"/>
          <w:bCs/>
          <w:sz w:val="20"/>
          <w:szCs w:val="20"/>
        </w:rPr>
      </w:pPr>
    </w:p>
    <w:p w14:paraId="2606C9A6" w14:textId="77777777" w:rsidR="005A7420" w:rsidRPr="00586DCF" w:rsidRDefault="005A7420" w:rsidP="005A7420">
      <w:pPr>
        <w:widowControl w:val="0"/>
        <w:autoSpaceDE w:val="0"/>
        <w:autoSpaceDN w:val="0"/>
        <w:adjustRightInd w:val="0"/>
        <w:spacing w:line="240" w:lineRule="auto"/>
        <w:rPr>
          <w:rFonts w:cstheme="minorHAnsi"/>
          <w:bCs/>
          <w:sz w:val="20"/>
          <w:szCs w:val="20"/>
        </w:rPr>
      </w:pPr>
    </w:p>
    <w:p w14:paraId="6D72AFA2" w14:textId="77777777" w:rsidR="005A7420" w:rsidRPr="00586DCF" w:rsidRDefault="005A7420" w:rsidP="005A7420">
      <w:pPr>
        <w:widowControl w:val="0"/>
        <w:autoSpaceDE w:val="0"/>
        <w:autoSpaceDN w:val="0"/>
        <w:adjustRightInd w:val="0"/>
        <w:spacing w:line="240" w:lineRule="auto"/>
        <w:rPr>
          <w:rFonts w:cstheme="minorHAnsi"/>
          <w:bCs/>
          <w:sz w:val="20"/>
          <w:szCs w:val="20"/>
        </w:rPr>
      </w:pPr>
    </w:p>
    <w:p w14:paraId="63C8BAE2" w14:textId="77777777" w:rsidR="005A7420" w:rsidRPr="00586DCF" w:rsidRDefault="005A7420" w:rsidP="005A7420">
      <w:pPr>
        <w:widowControl w:val="0"/>
        <w:autoSpaceDE w:val="0"/>
        <w:autoSpaceDN w:val="0"/>
        <w:adjustRightInd w:val="0"/>
        <w:spacing w:line="240" w:lineRule="auto"/>
        <w:rPr>
          <w:rFonts w:cstheme="minorHAnsi"/>
          <w:bCs/>
          <w:sz w:val="20"/>
          <w:szCs w:val="20"/>
        </w:rPr>
      </w:pPr>
    </w:p>
    <w:p w14:paraId="26B652A2" w14:textId="77777777" w:rsidR="005A7420" w:rsidRPr="00586DCF" w:rsidRDefault="005A7420" w:rsidP="005A7420">
      <w:pPr>
        <w:widowControl w:val="0"/>
        <w:autoSpaceDE w:val="0"/>
        <w:autoSpaceDN w:val="0"/>
        <w:adjustRightInd w:val="0"/>
        <w:spacing w:line="240" w:lineRule="auto"/>
        <w:rPr>
          <w:rFonts w:cstheme="minorHAnsi"/>
          <w:bCs/>
          <w:sz w:val="20"/>
          <w:szCs w:val="20"/>
        </w:rPr>
      </w:pPr>
    </w:p>
    <w:p w14:paraId="3B8CE539" w14:textId="77777777" w:rsidR="005A7420" w:rsidRPr="00586DCF" w:rsidRDefault="005A7420" w:rsidP="001C59B7">
      <w:pPr>
        <w:pStyle w:val="Heading1"/>
      </w:pPr>
      <w:bookmarkStart w:id="20" w:name="_Toc101439453"/>
      <w:bookmarkStart w:id="21" w:name="_Hlk80259280"/>
      <w:r w:rsidRPr="004C10F9">
        <w:lastRenderedPageBreak/>
        <w:t>KRITERIJUMI I PROCES EVALUACIJE PODGRANTOVA ZA PODGRANTE ZAJEDNICE ZA TINEJDŽERE I ZA PODGRANTE ZAJEDNICE ZA MLADE ODRASLE OSOBE</w:t>
      </w:r>
      <w:bookmarkEnd w:id="20"/>
      <w:r w:rsidRPr="00586DCF">
        <w:t xml:space="preserve"> </w:t>
      </w:r>
    </w:p>
    <w:p w14:paraId="2742836A" w14:textId="77777777" w:rsidR="005A7420" w:rsidRPr="00586DCF" w:rsidRDefault="005A7420" w:rsidP="005A7420">
      <w:pPr>
        <w:pStyle w:val="Subsub-heading"/>
        <w:numPr>
          <w:ilvl w:val="0"/>
          <w:numId w:val="0"/>
        </w:numPr>
      </w:pPr>
    </w:p>
    <w:p w14:paraId="3DB84CD4" w14:textId="77777777" w:rsidR="005A7420" w:rsidRPr="004C10F9" w:rsidRDefault="005A7420" w:rsidP="005A7420">
      <w:pPr>
        <w:jc w:val="both"/>
        <w:rPr>
          <w:rFonts w:eastAsiaTheme="minorEastAsia" w:cstheme="minorHAnsi"/>
          <w:sz w:val="20"/>
          <w:szCs w:val="20"/>
        </w:rPr>
      </w:pPr>
      <w:r w:rsidRPr="004C10F9">
        <w:rPr>
          <w:rFonts w:eastAsiaTheme="minorEastAsia" w:cstheme="minorHAnsi"/>
          <w:sz w:val="20"/>
          <w:szCs w:val="20"/>
        </w:rPr>
        <w:t>Predlozi potprojekata će se ocenjivati korišćenjem metodologije evaluacione mreže. Različite evaluacione mreže će se koristiti za podgrantove zajednice za tinejdžere i podgrante zajednice za mlade odrasle kako bi se odrazila razlika u obimu aktivnosti i starosti/kapacitetima kandidata.</w:t>
      </w:r>
    </w:p>
    <w:p w14:paraId="62683A41" w14:textId="77777777" w:rsidR="005A7420" w:rsidRPr="00586DCF" w:rsidRDefault="005A7420" w:rsidP="005A7420">
      <w:pPr>
        <w:jc w:val="both"/>
        <w:rPr>
          <w:rFonts w:eastAsiaTheme="minorEastAsia" w:cstheme="minorHAnsi"/>
          <w:sz w:val="20"/>
          <w:szCs w:val="20"/>
        </w:rPr>
      </w:pPr>
      <w:r w:rsidRPr="004C10F9">
        <w:rPr>
          <w:rFonts w:eastAsiaTheme="minorEastAsia" w:cstheme="minorHAnsi"/>
          <w:sz w:val="20"/>
          <w:szCs w:val="20"/>
        </w:rPr>
        <w:t>Načela odabira relevantna za obe kategorije podgrantova</w:t>
      </w:r>
      <w:r w:rsidRPr="00586DCF">
        <w:rPr>
          <w:rFonts w:eastAsiaTheme="minorEastAsia" w:cstheme="minorHAnsi"/>
          <w:sz w:val="20"/>
          <w:szCs w:val="20"/>
        </w:rPr>
        <w:t xml:space="preserve">: </w:t>
      </w:r>
    </w:p>
    <w:p w14:paraId="538FB644" w14:textId="77777777" w:rsidR="005A7420" w:rsidRPr="004C10F9" w:rsidRDefault="005A7420" w:rsidP="005A7420">
      <w:pPr>
        <w:pStyle w:val="ListParagraph"/>
        <w:numPr>
          <w:ilvl w:val="0"/>
          <w:numId w:val="14"/>
        </w:numPr>
        <w:spacing w:line="240" w:lineRule="auto"/>
        <w:rPr>
          <w:rFonts w:asciiTheme="minorHAnsi" w:eastAsiaTheme="minorEastAsia" w:hAnsiTheme="minorHAnsi" w:cstheme="minorHAnsi"/>
          <w:sz w:val="20"/>
          <w:szCs w:val="20"/>
        </w:rPr>
      </w:pPr>
      <w:r w:rsidRPr="004C10F9">
        <w:rPr>
          <w:rFonts w:asciiTheme="minorHAnsi" w:eastAsiaTheme="minorEastAsia" w:hAnsiTheme="minorHAnsi" w:cstheme="minorHAnsi"/>
          <w:sz w:val="20"/>
          <w:szCs w:val="20"/>
        </w:rPr>
        <w:t>Podgrantovi prihvatljivi za građevinske radove, biće podeljeni u dva dela: 1 podgrant samo za građevinske radove i povezani podgrant za povezane aktivnosti. Podnosilac građevinskih radova će podneti dva odvojena predloga potprojekata, koji će biti zajednički ocenjeni.</w:t>
      </w:r>
    </w:p>
    <w:p w14:paraId="4B5022B3" w14:textId="77777777" w:rsidR="005A7420" w:rsidRPr="004C10F9" w:rsidRDefault="005A7420" w:rsidP="005A7420">
      <w:pPr>
        <w:pStyle w:val="ListParagraph"/>
        <w:numPr>
          <w:ilvl w:val="0"/>
          <w:numId w:val="14"/>
        </w:numPr>
        <w:spacing w:line="240" w:lineRule="auto"/>
        <w:rPr>
          <w:rFonts w:asciiTheme="minorHAnsi" w:eastAsiaTheme="minorEastAsia" w:hAnsiTheme="minorHAnsi" w:cstheme="minorHAnsi"/>
          <w:sz w:val="20"/>
          <w:szCs w:val="20"/>
        </w:rPr>
      </w:pPr>
      <w:r w:rsidRPr="004C10F9">
        <w:rPr>
          <w:rFonts w:asciiTheme="minorHAnsi" w:eastAsiaTheme="minorEastAsia" w:hAnsiTheme="minorHAnsi" w:cstheme="minorHAnsi"/>
          <w:sz w:val="20"/>
          <w:szCs w:val="20"/>
        </w:rPr>
        <w:t>50 posto podgrantova biće dodeljeno podprojektnim timovima koje predvode mlade žene (vođa mladih)</w:t>
      </w:r>
    </w:p>
    <w:p w14:paraId="5C4FF841" w14:textId="77777777" w:rsidR="005A7420" w:rsidRPr="004C10F9" w:rsidRDefault="005A7420" w:rsidP="005A7420">
      <w:pPr>
        <w:pStyle w:val="ListParagraph"/>
        <w:numPr>
          <w:ilvl w:val="0"/>
          <w:numId w:val="14"/>
        </w:numPr>
        <w:spacing w:line="240" w:lineRule="auto"/>
        <w:rPr>
          <w:rFonts w:asciiTheme="minorHAnsi" w:eastAsiaTheme="minorEastAsia" w:hAnsiTheme="minorHAnsi" w:cstheme="minorHAnsi"/>
          <w:sz w:val="20"/>
          <w:szCs w:val="20"/>
        </w:rPr>
      </w:pPr>
      <w:r w:rsidRPr="004C10F9">
        <w:rPr>
          <w:rFonts w:asciiTheme="minorHAnsi" w:eastAsiaTheme="minorEastAsia" w:hAnsiTheme="minorHAnsi" w:cstheme="minorHAnsi"/>
          <w:sz w:val="20"/>
          <w:szCs w:val="20"/>
        </w:rPr>
        <w:t>Konsultacije podprojekta moraju biti rodno izbalansirane</w:t>
      </w:r>
    </w:p>
    <w:p w14:paraId="02F3BD8B" w14:textId="77777777" w:rsidR="005A7420" w:rsidRPr="00586DCF" w:rsidRDefault="005A7420" w:rsidP="005A7420">
      <w:pPr>
        <w:pStyle w:val="ListParagraph"/>
        <w:numPr>
          <w:ilvl w:val="0"/>
          <w:numId w:val="14"/>
        </w:numPr>
        <w:spacing w:line="240" w:lineRule="auto"/>
        <w:rPr>
          <w:rFonts w:asciiTheme="minorHAnsi" w:hAnsiTheme="minorHAnsi" w:cstheme="minorHAnsi"/>
          <w:sz w:val="20"/>
          <w:szCs w:val="20"/>
        </w:rPr>
      </w:pPr>
      <w:r w:rsidRPr="004C10F9">
        <w:rPr>
          <w:rFonts w:asciiTheme="minorHAnsi" w:eastAsiaTheme="minorEastAsia" w:hAnsiTheme="minorHAnsi" w:cstheme="minorHAnsi"/>
          <w:sz w:val="20"/>
          <w:szCs w:val="20"/>
        </w:rPr>
        <w:t>Samo potprojektima koji imaju minimalni rezultat od 60 bodova biće dodeljeni podgrant</w:t>
      </w:r>
      <w:r w:rsidRPr="00586DCF">
        <w:rPr>
          <w:rFonts w:asciiTheme="minorHAnsi" w:hAnsiTheme="minorHAnsi" w:cstheme="minorHAnsi"/>
          <w:sz w:val="20"/>
          <w:szCs w:val="20"/>
        </w:rPr>
        <w:t xml:space="preserve"> </w:t>
      </w:r>
    </w:p>
    <w:p w14:paraId="5BBB2E7F" w14:textId="77777777" w:rsidR="005A7420" w:rsidRPr="00586DCF" w:rsidRDefault="005A7420" w:rsidP="005A7420">
      <w:pPr>
        <w:ind w:left="720"/>
        <w:jc w:val="both"/>
        <w:rPr>
          <w:rFonts w:eastAsiaTheme="minorEastAsia" w:cstheme="minorHAnsi"/>
          <w:sz w:val="20"/>
          <w:szCs w:val="20"/>
        </w:rPr>
      </w:pPr>
    </w:p>
    <w:p w14:paraId="36F3B666" w14:textId="77777777" w:rsidR="005A7420" w:rsidRPr="00586DCF" w:rsidRDefault="005A7420" w:rsidP="001C59B7">
      <w:pPr>
        <w:pStyle w:val="Heading2"/>
      </w:pPr>
      <w:bookmarkStart w:id="22" w:name="_Toc101439454"/>
      <w:r w:rsidRPr="004C10F9">
        <w:t>Kriterijumi za odabir podgrantova zajednice za tinejdžere</w:t>
      </w:r>
      <w:r w:rsidRPr="00586DCF">
        <w:t>:</w:t>
      </w:r>
      <w:bookmarkEnd w:id="22"/>
      <w:r w:rsidRPr="00586DCF">
        <w:t xml:space="preserve"> </w:t>
      </w:r>
    </w:p>
    <w:p w14:paraId="3EA945FD" w14:textId="77777777" w:rsidR="005A7420" w:rsidRPr="009A0563" w:rsidRDefault="005A7420" w:rsidP="005A7420">
      <w:pPr>
        <w:pStyle w:val="ListParagraph"/>
        <w:widowControl w:val="0"/>
        <w:numPr>
          <w:ilvl w:val="0"/>
          <w:numId w:val="13"/>
        </w:numPr>
        <w:autoSpaceDE w:val="0"/>
        <w:autoSpaceDN w:val="0"/>
        <w:adjustRightInd w:val="0"/>
        <w:spacing w:line="240" w:lineRule="auto"/>
        <w:rPr>
          <w:rFonts w:asciiTheme="minorHAnsi" w:hAnsiTheme="minorHAnsi"/>
          <w:sz w:val="20"/>
          <w:szCs w:val="20"/>
        </w:rPr>
      </w:pPr>
      <w:bookmarkStart w:id="23" w:name="_Hlk80259967"/>
      <w:r w:rsidRPr="009A0563">
        <w:rPr>
          <w:rFonts w:asciiTheme="minorHAnsi" w:hAnsiTheme="minorHAnsi"/>
          <w:sz w:val="20"/>
          <w:szCs w:val="20"/>
        </w:rPr>
        <w:t>Potprojekat koristi mladima osim podnosiocima prijave (maksimalno 10 bodova)</w:t>
      </w:r>
    </w:p>
    <w:p w14:paraId="7EEEDA11" w14:textId="77777777" w:rsidR="005A7420" w:rsidRPr="009A0563" w:rsidRDefault="005A7420" w:rsidP="005A7420">
      <w:pPr>
        <w:pStyle w:val="ListParagraph"/>
        <w:widowControl w:val="0"/>
        <w:numPr>
          <w:ilvl w:val="0"/>
          <w:numId w:val="13"/>
        </w:numPr>
        <w:autoSpaceDE w:val="0"/>
        <w:autoSpaceDN w:val="0"/>
        <w:adjustRightInd w:val="0"/>
        <w:spacing w:line="240" w:lineRule="auto"/>
        <w:rPr>
          <w:rFonts w:asciiTheme="minorHAnsi" w:hAnsiTheme="minorHAnsi"/>
          <w:sz w:val="20"/>
          <w:szCs w:val="20"/>
        </w:rPr>
      </w:pPr>
      <w:r w:rsidRPr="009A0563">
        <w:rPr>
          <w:rFonts w:asciiTheme="minorHAnsi" w:hAnsiTheme="minorHAnsi"/>
          <w:sz w:val="20"/>
          <w:szCs w:val="20"/>
        </w:rPr>
        <w:t>Potprojekat će proizvesti jedinstveni društveni uticaj relevantan za ciljne korisnike (maksimalno 30 bodova)</w:t>
      </w:r>
    </w:p>
    <w:p w14:paraId="2C30B23E" w14:textId="77777777" w:rsidR="005A7420" w:rsidRPr="009A0563" w:rsidRDefault="005A7420" w:rsidP="005A7420">
      <w:pPr>
        <w:pStyle w:val="ListParagraph"/>
        <w:widowControl w:val="0"/>
        <w:numPr>
          <w:ilvl w:val="0"/>
          <w:numId w:val="13"/>
        </w:numPr>
        <w:autoSpaceDE w:val="0"/>
        <w:autoSpaceDN w:val="0"/>
        <w:adjustRightInd w:val="0"/>
        <w:spacing w:line="240" w:lineRule="auto"/>
        <w:rPr>
          <w:rFonts w:asciiTheme="minorHAnsi" w:hAnsiTheme="minorHAnsi"/>
          <w:sz w:val="20"/>
          <w:szCs w:val="20"/>
        </w:rPr>
      </w:pPr>
      <w:r w:rsidRPr="009A0563">
        <w:rPr>
          <w:rFonts w:asciiTheme="minorHAnsi" w:hAnsiTheme="minorHAnsi"/>
          <w:sz w:val="20"/>
          <w:szCs w:val="20"/>
        </w:rPr>
        <w:t>Efikasnost i izvodljivost akcije (maksimalno 30 bodova)</w:t>
      </w:r>
    </w:p>
    <w:p w14:paraId="6332B5EF" w14:textId="77777777" w:rsidR="005A7420" w:rsidRPr="009A0563" w:rsidRDefault="005A7420" w:rsidP="005A7420">
      <w:pPr>
        <w:pStyle w:val="ListParagraph"/>
        <w:widowControl w:val="0"/>
        <w:numPr>
          <w:ilvl w:val="0"/>
          <w:numId w:val="13"/>
        </w:numPr>
        <w:autoSpaceDE w:val="0"/>
        <w:autoSpaceDN w:val="0"/>
        <w:adjustRightInd w:val="0"/>
        <w:spacing w:line="240" w:lineRule="auto"/>
        <w:rPr>
          <w:rFonts w:asciiTheme="minorHAnsi" w:hAnsiTheme="minorHAnsi"/>
          <w:sz w:val="20"/>
          <w:szCs w:val="20"/>
        </w:rPr>
      </w:pPr>
      <w:r w:rsidRPr="009A0563">
        <w:rPr>
          <w:rFonts w:asciiTheme="minorHAnsi" w:hAnsiTheme="minorHAnsi"/>
          <w:sz w:val="20"/>
          <w:szCs w:val="20"/>
        </w:rPr>
        <w:t>Postoje planovi za osiguranje vidljivosti potprojekta (maksimalno 10 bodova)</w:t>
      </w:r>
    </w:p>
    <w:p w14:paraId="2B7A819E" w14:textId="77777777" w:rsidR="005A7420" w:rsidRPr="009A0563" w:rsidRDefault="005A7420" w:rsidP="005A7420">
      <w:pPr>
        <w:pStyle w:val="ListParagraph"/>
        <w:widowControl w:val="0"/>
        <w:numPr>
          <w:ilvl w:val="0"/>
          <w:numId w:val="13"/>
        </w:numPr>
        <w:autoSpaceDE w:val="0"/>
        <w:autoSpaceDN w:val="0"/>
        <w:adjustRightInd w:val="0"/>
        <w:spacing w:line="240" w:lineRule="auto"/>
        <w:rPr>
          <w:rFonts w:asciiTheme="minorHAnsi" w:hAnsiTheme="minorHAnsi"/>
          <w:sz w:val="20"/>
          <w:szCs w:val="20"/>
        </w:rPr>
      </w:pPr>
      <w:r w:rsidRPr="009A0563">
        <w:rPr>
          <w:rFonts w:asciiTheme="minorHAnsi" w:hAnsiTheme="minorHAnsi"/>
          <w:sz w:val="20"/>
          <w:szCs w:val="20"/>
        </w:rPr>
        <w:t>Potprojekat pruža mogućnosti učenja iz iskustva (maksimalno 10 bodova)</w:t>
      </w:r>
    </w:p>
    <w:p w14:paraId="15CB648A" w14:textId="77777777" w:rsidR="005A7420" w:rsidRPr="00586DCF" w:rsidRDefault="005A7420" w:rsidP="005A7420">
      <w:pPr>
        <w:pStyle w:val="ListParagraph"/>
        <w:widowControl w:val="0"/>
        <w:numPr>
          <w:ilvl w:val="0"/>
          <w:numId w:val="13"/>
        </w:numPr>
        <w:autoSpaceDE w:val="0"/>
        <w:autoSpaceDN w:val="0"/>
        <w:adjustRightInd w:val="0"/>
        <w:spacing w:line="240" w:lineRule="auto"/>
        <w:rPr>
          <w:rFonts w:asciiTheme="minorHAnsi" w:hAnsiTheme="minorHAnsi"/>
          <w:sz w:val="20"/>
          <w:szCs w:val="20"/>
        </w:rPr>
      </w:pPr>
      <w:r w:rsidRPr="009A0563">
        <w:rPr>
          <w:rFonts w:asciiTheme="minorHAnsi" w:hAnsiTheme="minorHAnsi"/>
          <w:sz w:val="20"/>
          <w:szCs w:val="20"/>
        </w:rPr>
        <w:t>Predstavljen budžet je u skladu sa predloženim aktivnostima (maksimalno 10 bodova</w:t>
      </w:r>
      <w:r w:rsidRPr="00586DCF">
        <w:rPr>
          <w:rFonts w:asciiTheme="minorHAnsi" w:hAnsiTheme="minorHAnsi"/>
          <w:sz w:val="20"/>
          <w:szCs w:val="20"/>
        </w:rPr>
        <w:t>)</w:t>
      </w:r>
    </w:p>
    <w:bookmarkEnd w:id="23"/>
    <w:p w14:paraId="36DCC951" w14:textId="77777777" w:rsidR="005A7420" w:rsidRPr="00586DCF" w:rsidRDefault="005A7420" w:rsidP="005A7420">
      <w:pPr>
        <w:jc w:val="both"/>
        <w:rPr>
          <w:rFonts w:cstheme="minorHAnsi"/>
          <w:bCs/>
          <w:sz w:val="20"/>
          <w:szCs w:val="20"/>
        </w:rPr>
      </w:pPr>
    </w:p>
    <w:p w14:paraId="4F23F155" w14:textId="77777777" w:rsidR="005A7420" w:rsidRPr="00586DCF" w:rsidRDefault="005A7420" w:rsidP="001C59B7">
      <w:pPr>
        <w:pStyle w:val="Heading2"/>
      </w:pPr>
      <w:bookmarkStart w:id="24" w:name="_Toc101439455"/>
      <w:r w:rsidRPr="009A0563">
        <w:t>Kriterijumi za odabir podgrantova zajednice za mlade odrasle osobe</w:t>
      </w:r>
      <w:r w:rsidRPr="00586DCF">
        <w:t>:</w:t>
      </w:r>
      <w:bookmarkEnd w:id="24"/>
      <w:r w:rsidRPr="00586DCF">
        <w:t xml:space="preserve"> </w:t>
      </w:r>
    </w:p>
    <w:p w14:paraId="30EE199B" w14:textId="77777777" w:rsidR="005A7420" w:rsidRPr="009A0563" w:rsidRDefault="005A7420" w:rsidP="005A7420">
      <w:pPr>
        <w:pStyle w:val="ListParagraph"/>
        <w:widowControl w:val="0"/>
        <w:numPr>
          <w:ilvl w:val="0"/>
          <w:numId w:val="13"/>
        </w:numPr>
        <w:autoSpaceDE w:val="0"/>
        <w:autoSpaceDN w:val="0"/>
        <w:adjustRightInd w:val="0"/>
        <w:spacing w:line="240" w:lineRule="auto"/>
        <w:rPr>
          <w:rFonts w:asciiTheme="minorHAnsi" w:hAnsiTheme="minorHAnsi"/>
          <w:sz w:val="20"/>
          <w:szCs w:val="20"/>
        </w:rPr>
      </w:pPr>
      <w:bookmarkStart w:id="25" w:name="_Hlk80263383"/>
      <w:r w:rsidRPr="009A0563">
        <w:rPr>
          <w:rFonts w:asciiTheme="minorHAnsi" w:hAnsiTheme="minorHAnsi"/>
          <w:sz w:val="20"/>
          <w:szCs w:val="20"/>
        </w:rPr>
        <w:t>Kandidat je pokazao iskustvo u upravljanju projektima (maksimalno 10 bodova)</w:t>
      </w:r>
    </w:p>
    <w:p w14:paraId="39590CFA" w14:textId="77777777" w:rsidR="005A7420" w:rsidRPr="009A0563" w:rsidRDefault="005A7420" w:rsidP="005A7420">
      <w:pPr>
        <w:pStyle w:val="ListParagraph"/>
        <w:widowControl w:val="0"/>
        <w:numPr>
          <w:ilvl w:val="0"/>
          <w:numId w:val="13"/>
        </w:numPr>
        <w:autoSpaceDE w:val="0"/>
        <w:autoSpaceDN w:val="0"/>
        <w:adjustRightInd w:val="0"/>
        <w:spacing w:line="240" w:lineRule="auto"/>
        <w:rPr>
          <w:rFonts w:asciiTheme="minorHAnsi" w:hAnsiTheme="minorHAnsi"/>
          <w:sz w:val="20"/>
          <w:szCs w:val="20"/>
        </w:rPr>
      </w:pPr>
      <w:r w:rsidRPr="009A0563">
        <w:rPr>
          <w:rFonts w:asciiTheme="minorHAnsi" w:hAnsiTheme="minorHAnsi"/>
          <w:sz w:val="20"/>
          <w:szCs w:val="20"/>
        </w:rPr>
        <w:t>Relevantnost i jedinstvenost predloženog društvenog uticaja za ciljne korisnike (maksimalno 30 bodova)</w:t>
      </w:r>
    </w:p>
    <w:p w14:paraId="2853991B" w14:textId="77777777" w:rsidR="005A7420" w:rsidRPr="009A0563" w:rsidRDefault="005A7420" w:rsidP="005A7420">
      <w:pPr>
        <w:pStyle w:val="ListParagraph"/>
        <w:widowControl w:val="0"/>
        <w:numPr>
          <w:ilvl w:val="0"/>
          <w:numId w:val="13"/>
        </w:numPr>
        <w:autoSpaceDE w:val="0"/>
        <w:autoSpaceDN w:val="0"/>
        <w:adjustRightInd w:val="0"/>
        <w:spacing w:line="240" w:lineRule="auto"/>
        <w:rPr>
          <w:rFonts w:asciiTheme="minorHAnsi" w:hAnsiTheme="minorHAnsi"/>
          <w:sz w:val="20"/>
          <w:szCs w:val="20"/>
        </w:rPr>
      </w:pPr>
      <w:r w:rsidRPr="009A0563">
        <w:rPr>
          <w:rFonts w:asciiTheme="minorHAnsi" w:hAnsiTheme="minorHAnsi"/>
          <w:sz w:val="20"/>
          <w:szCs w:val="20"/>
        </w:rPr>
        <w:t>Efikasnost i izvodljivost akcije (maksimalno 30 bodova)</w:t>
      </w:r>
    </w:p>
    <w:p w14:paraId="2A2562D2" w14:textId="77777777" w:rsidR="005A7420" w:rsidRPr="009A0563" w:rsidRDefault="005A7420" w:rsidP="005A7420">
      <w:pPr>
        <w:pStyle w:val="ListParagraph"/>
        <w:widowControl w:val="0"/>
        <w:numPr>
          <w:ilvl w:val="0"/>
          <w:numId w:val="13"/>
        </w:numPr>
        <w:autoSpaceDE w:val="0"/>
        <w:autoSpaceDN w:val="0"/>
        <w:adjustRightInd w:val="0"/>
        <w:spacing w:line="240" w:lineRule="auto"/>
        <w:rPr>
          <w:rFonts w:asciiTheme="minorHAnsi" w:hAnsiTheme="minorHAnsi"/>
          <w:sz w:val="20"/>
          <w:szCs w:val="20"/>
        </w:rPr>
      </w:pPr>
      <w:r w:rsidRPr="009A0563">
        <w:rPr>
          <w:rFonts w:asciiTheme="minorHAnsi" w:hAnsiTheme="minorHAnsi"/>
          <w:sz w:val="20"/>
          <w:szCs w:val="20"/>
        </w:rPr>
        <w:t>Održivost akcije (maksimalno 15 bodova)</w:t>
      </w:r>
    </w:p>
    <w:p w14:paraId="774CED19" w14:textId="77777777" w:rsidR="005A7420" w:rsidRPr="00586DCF" w:rsidRDefault="005A7420" w:rsidP="005A7420">
      <w:pPr>
        <w:pStyle w:val="ListParagraph"/>
        <w:widowControl w:val="0"/>
        <w:numPr>
          <w:ilvl w:val="0"/>
          <w:numId w:val="13"/>
        </w:numPr>
        <w:autoSpaceDE w:val="0"/>
        <w:autoSpaceDN w:val="0"/>
        <w:adjustRightInd w:val="0"/>
        <w:spacing w:line="240" w:lineRule="auto"/>
        <w:rPr>
          <w:rFonts w:asciiTheme="minorHAnsi" w:hAnsiTheme="minorHAnsi"/>
          <w:sz w:val="20"/>
          <w:szCs w:val="20"/>
        </w:rPr>
      </w:pPr>
      <w:r w:rsidRPr="009A0563">
        <w:rPr>
          <w:rFonts w:asciiTheme="minorHAnsi" w:hAnsiTheme="minorHAnsi"/>
          <w:sz w:val="20"/>
          <w:szCs w:val="20"/>
        </w:rPr>
        <w:t>Budžet i isplativost akcije (maksimalno 15 bodova</w:t>
      </w:r>
      <w:r w:rsidRPr="00586DCF">
        <w:rPr>
          <w:rFonts w:asciiTheme="minorHAnsi" w:hAnsiTheme="minorHAnsi"/>
          <w:sz w:val="20"/>
          <w:szCs w:val="20"/>
        </w:rPr>
        <w:t>)</w:t>
      </w:r>
    </w:p>
    <w:bookmarkEnd w:id="21"/>
    <w:bookmarkEnd w:id="25"/>
    <w:p w14:paraId="5D30DDFA" w14:textId="77777777" w:rsidR="005A7420" w:rsidRPr="00586DCF" w:rsidRDefault="005A7420" w:rsidP="005A7420">
      <w:pPr>
        <w:rPr>
          <w:sz w:val="20"/>
          <w:szCs w:val="20"/>
        </w:rPr>
      </w:pPr>
    </w:p>
    <w:p w14:paraId="36C0B070" w14:textId="77777777" w:rsidR="005A7420" w:rsidRPr="00586DCF" w:rsidRDefault="005A7420" w:rsidP="001C59B7">
      <w:pPr>
        <w:pStyle w:val="Heading2"/>
      </w:pPr>
      <w:bookmarkStart w:id="26" w:name="_Toc101439456"/>
      <w:r w:rsidRPr="009A0563">
        <w:t>Načela i koraci evaluacije</w:t>
      </w:r>
      <w:r w:rsidRPr="00586DCF">
        <w:t>:</w:t>
      </w:r>
      <w:bookmarkEnd w:id="26"/>
      <w:r w:rsidRPr="00586DCF">
        <w:t xml:space="preserve"> </w:t>
      </w:r>
    </w:p>
    <w:p w14:paraId="193D92C1" w14:textId="77777777" w:rsidR="005A7420" w:rsidRPr="00586DCF" w:rsidRDefault="005A7420" w:rsidP="005A7420">
      <w:pPr>
        <w:autoSpaceDE w:val="0"/>
        <w:autoSpaceDN w:val="0"/>
        <w:adjustRightInd w:val="0"/>
        <w:jc w:val="both"/>
        <w:rPr>
          <w:rFonts w:cstheme="minorHAnsi"/>
          <w:sz w:val="20"/>
          <w:szCs w:val="20"/>
        </w:rPr>
      </w:pPr>
    </w:p>
    <w:p w14:paraId="6A33B653" w14:textId="77777777" w:rsidR="005A7420" w:rsidRPr="00586DCF" w:rsidRDefault="005A7420" w:rsidP="005A7420">
      <w:pPr>
        <w:pStyle w:val="ListParagraph"/>
        <w:numPr>
          <w:ilvl w:val="0"/>
          <w:numId w:val="15"/>
        </w:numPr>
        <w:spacing w:line="240" w:lineRule="auto"/>
        <w:rPr>
          <w:rFonts w:asciiTheme="minorHAnsi" w:hAnsiTheme="minorHAnsi" w:cs="Calibri"/>
          <w:sz w:val="20"/>
          <w:szCs w:val="20"/>
        </w:rPr>
      </w:pPr>
      <w:r>
        <w:rPr>
          <w:rFonts w:asciiTheme="minorHAnsi" w:hAnsiTheme="minorHAnsi" w:cs="Calibri"/>
          <w:b/>
          <w:sz w:val="20"/>
          <w:szCs w:val="20"/>
        </w:rPr>
        <w:t>Tehnički pregled</w:t>
      </w:r>
      <w:r w:rsidRPr="00586DCF">
        <w:rPr>
          <w:rFonts w:asciiTheme="minorHAnsi" w:hAnsiTheme="minorHAnsi" w:cs="Calibri"/>
          <w:sz w:val="20"/>
          <w:szCs w:val="20"/>
        </w:rPr>
        <w:t xml:space="preserve">. </w:t>
      </w:r>
      <w:r>
        <w:rPr>
          <w:rFonts w:asciiTheme="minorHAnsi" w:hAnsiTheme="minorHAnsi" w:cs="Calibri"/>
          <w:sz w:val="20"/>
          <w:szCs w:val="20"/>
        </w:rPr>
        <w:t>Nakon prijema</w:t>
      </w:r>
      <w:r w:rsidRPr="009A0563">
        <w:rPr>
          <w:rFonts w:asciiTheme="minorHAnsi" w:hAnsiTheme="minorHAnsi" w:cs="Calibri"/>
          <w:sz w:val="20"/>
          <w:szCs w:val="20"/>
        </w:rPr>
        <w:t>, FP-NVO uklanja identifikacione informacije iz prijava, pregleda prijave prema kontrolnoj listi prijava i podnosi kompletne prijave Odboru za evaluaciju podgrantova (OEP</w:t>
      </w:r>
      <w:r w:rsidRPr="00586DCF">
        <w:rPr>
          <w:rFonts w:asciiTheme="minorHAnsi" w:hAnsiTheme="minorHAnsi" w:cs="Calibri"/>
          <w:sz w:val="20"/>
          <w:szCs w:val="20"/>
        </w:rPr>
        <w:t xml:space="preserve">).  </w:t>
      </w:r>
    </w:p>
    <w:p w14:paraId="5CE6818A" w14:textId="77777777" w:rsidR="005A7420" w:rsidRDefault="005A7420" w:rsidP="005A7420">
      <w:pPr>
        <w:pStyle w:val="ListParagraph"/>
        <w:numPr>
          <w:ilvl w:val="0"/>
          <w:numId w:val="15"/>
        </w:numPr>
        <w:spacing w:line="240" w:lineRule="auto"/>
        <w:rPr>
          <w:rFonts w:asciiTheme="minorHAnsi" w:hAnsiTheme="minorHAnsi" w:cstheme="minorHAnsi"/>
          <w:sz w:val="20"/>
          <w:szCs w:val="20"/>
        </w:rPr>
      </w:pPr>
      <w:r>
        <w:rPr>
          <w:rFonts w:asciiTheme="minorHAnsi" w:hAnsiTheme="minorHAnsi" w:cs="Calibri"/>
          <w:b/>
          <w:bCs/>
          <w:sz w:val="20"/>
          <w:szCs w:val="20"/>
        </w:rPr>
        <w:t>Tehnička evaluacija</w:t>
      </w:r>
      <w:r w:rsidRPr="00586DCF">
        <w:rPr>
          <w:rFonts w:asciiTheme="minorHAnsi" w:hAnsiTheme="minorHAnsi" w:cs="Calibri"/>
          <w:sz w:val="20"/>
          <w:szCs w:val="20"/>
        </w:rPr>
        <w:t xml:space="preserve">: </w:t>
      </w:r>
      <w:r w:rsidRPr="009A0563">
        <w:rPr>
          <w:rFonts w:asciiTheme="minorHAnsi" w:hAnsiTheme="minorHAnsi" w:cs="Calibri"/>
          <w:sz w:val="20"/>
          <w:szCs w:val="20"/>
        </w:rPr>
        <w:t>Članovi OEP-a ocenjuju predloge nezavisno koristeći odgovarajuće evaluacione mreže</w:t>
      </w:r>
      <w:r w:rsidRPr="00586DCF">
        <w:rPr>
          <w:rFonts w:asciiTheme="minorHAnsi" w:hAnsiTheme="minorHAnsi" w:cstheme="minorHAnsi"/>
          <w:sz w:val="20"/>
          <w:szCs w:val="20"/>
        </w:rPr>
        <w:t>.</w:t>
      </w:r>
    </w:p>
    <w:p w14:paraId="120480D9" w14:textId="77777777" w:rsidR="005A7420" w:rsidRPr="00E72365" w:rsidRDefault="005A7420" w:rsidP="005A7420">
      <w:pPr>
        <w:pStyle w:val="ListParagraph"/>
        <w:numPr>
          <w:ilvl w:val="0"/>
          <w:numId w:val="15"/>
        </w:numPr>
        <w:spacing w:line="240" w:lineRule="auto"/>
        <w:rPr>
          <w:rFonts w:asciiTheme="minorHAnsi" w:hAnsiTheme="minorHAnsi" w:cstheme="minorHAnsi"/>
          <w:sz w:val="20"/>
          <w:szCs w:val="20"/>
        </w:rPr>
      </w:pPr>
      <w:r w:rsidRPr="000928F8">
        <w:rPr>
          <w:rFonts w:asciiTheme="minorHAnsi" w:hAnsiTheme="minorHAnsi" w:cstheme="minorHAnsi"/>
          <w:b/>
          <w:sz w:val="20"/>
          <w:szCs w:val="20"/>
          <w:shd w:val="clear" w:color="auto" w:fill="FFFFFF"/>
        </w:rPr>
        <w:t>Ekološka</w:t>
      </w:r>
      <w:r w:rsidRPr="000928F8">
        <w:rPr>
          <w:rFonts w:ascii="Palatino Linotype" w:hAnsi="Palatino Linotype"/>
          <w:b/>
          <w:color w:val="4E4B49"/>
          <w:sz w:val="20"/>
          <w:szCs w:val="20"/>
          <w:shd w:val="clear" w:color="auto" w:fill="FFFFFF"/>
        </w:rPr>
        <w:t xml:space="preserve"> i </w:t>
      </w:r>
      <w:r w:rsidRPr="000928F8">
        <w:rPr>
          <w:rFonts w:eastAsia="Cambria"/>
          <w:b/>
          <w:sz w:val="20"/>
          <w:szCs w:val="20"/>
        </w:rPr>
        <w:t xml:space="preserve">Socijalna (E&amp;S) </w:t>
      </w:r>
      <w:r w:rsidRPr="000928F8">
        <w:rPr>
          <w:rFonts w:cstheme="minorHAnsi"/>
          <w:b/>
          <w:sz w:val="20"/>
          <w:szCs w:val="20"/>
        </w:rPr>
        <w:t>Selekcija</w:t>
      </w:r>
      <w:r w:rsidRPr="00E72365">
        <w:rPr>
          <w:rFonts w:asciiTheme="minorHAnsi" w:hAnsiTheme="minorHAnsi" w:cstheme="minorHAnsi"/>
          <w:b/>
          <w:sz w:val="20"/>
          <w:szCs w:val="20"/>
        </w:rPr>
        <w:t xml:space="preserve"> – </w:t>
      </w:r>
      <w:r w:rsidRPr="00E72365">
        <w:rPr>
          <w:rFonts w:asciiTheme="minorHAnsi" w:hAnsiTheme="minorHAnsi" w:cstheme="minorHAnsi"/>
          <w:sz w:val="20"/>
          <w:szCs w:val="20"/>
        </w:rPr>
        <w:t xml:space="preserve">JUP će sprovesti Ekološku i </w:t>
      </w:r>
      <w:r>
        <w:rPr>
          <w:rFonts w:eastAsia="Cambria"/>
          <w:sz w:val="20"/>
          <w:szCs w:val="20"/>
        </w:rPr>
        <w:t>Socijalnu</w:t>
      </w:r>
      <w:r w:rsidRPr="00884A5D">
        <w:rPr>
          <w:rFonts w:eastAsia="Cambria"/>
          <w:sz w:val="20"/>
          <w:szCs w:val="20"/>
        </w:rPr>
        <w:t xml:space="preserve"> </w:t>
      </w:r>
      <w:r w:rsidRPr="00E72365">
        <w:rPr>
          <w:rFonts w:asciiTheme="minorHAnsi" w:hAnsiTheme="minorHAnsi" w:cstheme="minorHAnsi"/>
          <w:sz w:val="20"/>
          <w:szCs w:val="20"/>
        </w:rPr>
        <w:t xml:space="preserve">Selekciju, pripremiti izveštaje o selekciji i dostaviti ih </w:t>
      </w:r>
      <w:r>
        <w:rPr>
          <w:rFonts w:asciiTheme="minorHAnsi" w:hAnsiTheme="minorHAnsi" w:cstheme="minorHAnsi"/>
          <w:sz w:val="20"/>
          <w:szCs w:val="20"/>
        </w:rPr>
        <w:t>OEP-a.</w:t>
      </w:r>
      <w:r w:rsidRPr="00E72365">
        <w:rPr>
          <w:rFonts w:asciiTheme="minorHAnsi" w:hAnsiTheme="minorHAnsi" w:cstheme="minorHAnsi"/>
          <w:sz w:val="20"/>
          <w:szCs w:val="20"/>
        </w:rPr>
        <w:t>-</w:t>
      </w:r>
    </w:p>
    <w:p w14:paraId="51CFC605" w14:textId="77777777" w:rsidR="005A7420" w:rsidRPr="00586DCF" w:rsidRDefault="005A7420" w:rsidP="005A7420">
      <w:pPr>
        <w:pStyle w:val="ListParagraph"/>
        <w:numPr>
          <w:ilvl w:val="0"/>
          <w:numId w:val="15"/>
        </w:numPr>
        <w:spacing w:line="240" w:lineRule="auto"/>
        <w:rPr>
          <w:rFonts w:asciiTheme="minorHAnsi" w:hAnsiTheme="minorHAnsi" w:cstheme="minorHAnsi"/>
          <w:sz w:val="20"/>
          <w:szCs w:val="20"/>
        </w:rPr>
      </w:pPr>
      <w:r>
        <w:rPr>
          <w:rFonts w:asciiTheme="minorHAnsi" w:hAnsiTheme="minorHAnsi" w:cstheme="minorHAnsi"/>
          <w:b/>
          <w:sz w:val="20"/>
          <w:szCs w:val="20"/>
        </w:rPr>
        <w:t>Sastanak u cilju evaluacije</w:t>
      </w:r>
      <w:r w:rsidRPr="00586DCF">
        <w:rPr>
          <w:rFonts w:asciiTheme="minorHAnsi" w:hAnsiTheme="minorHAnsi" w:cstheme="minorHAnsi"/>
          <w:sz w:val="20"/>
          <w:szCs w:val="20"/>
        </w:rPr>
        <w:t xml:space="preserve">. </w:t>
      </w:r>
      <w:r w:rsidRPr="009A0563">
        <w:rPr>
          <w:rFonts w:asciiTheme="minorHAnsi" w:hAnsiTheme="minorHAnsi" w:cstheme="minorHAnsi"/>
          <w:sz w:val="20"/>
          <w:szCs w:val="20"/>
        </w:rPr>
        <w:t>Predsedavajući poziva na sastanak članove OEP-a kako bi se razgovaralo o evaluacionim matricama članova, koje se dostavljaju elektronskim putem pre sastanka. Cilj sastanka je da se razgovara o svim većim odstupanjima u ocenama OEP-a</w:t>
      </w:r>
      <w:r w:rsidRPr="00586DCF">
        <w:rPr>
          <w:rFonts w:asciiTheme="minorHAnsi" w:hAnsiTheme="minorHAnsi" w:cstheme="minorHAnsi"/>
          <w:sz w:val="20"/>
          <w:szCs w:val="20"/>
        </w:rPr>
        <w:t xml:space="preserve">.  </w:t>
      </w:r>
    </w:p>
    <w:p w14:paraId="2AEC88B5" w14:textId="52594C4B" w:rsidR="005A7420" w:rsidRPr="00586DCF" w:rsidRDefault="005A7420" w:rsidP="005A7420">
      <w:pPr>
        <w:pStyle w:val="ListParagraph"/>
        <w:numPr>
          <w:ilvl w:val="0"/>
          <w:numId w:val="15"/>
        </w:numPr>
        <w:spacing w:line="240" w:lineRule="auto"/>
        <w:rPr>
          <w:rFonts w:asciiTheme="minorHAnsi" w:hAnsiTheme="minorHAnsi" w:cstheme="minorHAnsi"/>
          <w:sz w:val="20"/>
          <w:szCs w:val="20"/>
        </w:rPr>
      </w:pPr>
      <w:r>
        <w:rPr>
          <w:rFonts w:asciiTheme="minorHAnsi" w:hAnsiTheme="minorHAnsi" w:cstheme="minorHAnsi"/>
          <w:b/>
          <w:sz w:val="20"/>
          <w:szCs w:val="20"/>
        </w:rPr>
        <w:t>Verifikacija rezultata</w:t>
      </w:r>
      <w:r w:rsidRPr="00586DCF">
        <w:rPr>
          <w:rFonts w:asciiTheme="minorHAnsi" w:hAnsiTheme="minorHAnsi" w:cstheme="minorHAnsi"/>
          <w:b/>
          <w:sz w:val="20"/>
          <w:szCs w:val="20"/>
        </w:rPr>
        <w:t xml:space="preserve">. </w:t>
      </w:r>
      <w:r w:rsidRPr="009A0563">
        <w:rPr>
          <w:rFonts w:asciiTheme="minorHAnsi" w:hAnsiTheme="minorHAnsi" w:cstheme="minorHAnsi"/>
          <w:sz w:val="20"/>
          <w:szCs w:val="20"/>
        </w:rPr>
        <w:t xml:space="preserve">OEP prenosi njihov sažetak evaluacije FP-NVO-u radi provere kvaliteta i verifikacije. FP-NVO priprema izveštaj koji potvrđuje proces evaluacije sa predloženom listom dobitnika podgranta. </w:t>
      </w:r>
    </w:p>
    <w:p w14:paraId="4F4547E4" w14:textId="73086A9C" w:rsidR="005A7420" w:rsidRPr="00586DCF" w:rsidRDefault="005A7420" w:rsidP="005A7420">
      <w:pPr>
        <w:pStyle w:val="ListParagraph"/>
        <w:numPr>
          <w:ilvl w:val="0"/>
          <w:numId w:val="15"/>
        </w:numPr>
        <w:spacing w:line="240" w:lineRule="auto"/>
        <w:rPr>
          <w:rFonts w:asciiTheme="minorHAnsi" w:hAnsiTheme="minorHAnsi" w:cs="Calibri"/>
          <w:sz w:val="20"/>
          <w:szCs w:val="20"/>
        </w:rPr>
      </w:pPr>
      <w:r>
        <w:rPr>
          <w:rFonts w:asciiTheme="minorHAnsi" w:hAnsiTheme="minorHAnsi" w:cs="Calibri"/>
          <w:b/>
          <w:sz w:val="20"/>
          <w:szCs w:val="20"/>
        </w:rPr>
        <w:t>Objavljivanje pobednika</w:t>
      </w:r>
      <w:r w:rsidRPr="00586DCF">
        <w:rPr>
          <w:rFonts w:asciiTheme="minorHAnsi" w:hAnsiTheme="minorHAnsi" w:cs="Calibri"/>
          <w:b/>
          <w:sz w:val="20"/>
          <w:szCs w:val="20"/>
        </w:rPr>
        <w:t xml:space="preserve">. </w:t>
      </w:r>
      <w:r w:rsidRPr="009A0563">
        <w:rPr>
          <w:rFonts w:asciiTheme="minorHAnsi" w:hAnsiTheme="minorHAnsi" w:cs="Calibri"/>
          <w:sz w:val="20"/>
          <w:szCs w:val="20"/>
        </w:rPr>
        <w:t>Opština objavljuje listu dobitnika podgrantova. Preliminarni rezultati postaju konačni ako se u roku ne zaprimi nijedna pritužba. Ako se podnese pritužba, preliminarni rezultati postaju konačni nakon što se pritužbe podnositelja prijave razmotre. Opština javno objavljuje pobednike i rezultate na osnovu preporuka OEP-a</w:t>
      </w:r>
      <w:r w:rsidR="006F4058">
        <w:rPr>
          <w:rFonts w:asciiTheme="minorHAnsi" w:hAnsiTheme="minorHAnsi" w:cs="Calibri"/>
          <w:sz w:val="20"/>
          <w:szCs w:val="20"/>
        </w:rPr>
        <w:t>.</w:t>
      </w:r>
    </w:p>
    <w:p w14:paraId="2FE3E240" w14:textId="77777777" w:rsidR="005A7420" w:rsidRPr="00586DCF" w:rsidRDefault="005A7420" w:rsidP="005A7420">
      <w:pPr>
        <w:ind w:left="360"/>
        <w:jc w:val="both"/>
        <w:rPr>
          <w:rFonts w:cstheme="minorHAnsi"/>
          <w:sz w:val="20"/>
          <w:szCs w:val="20"/>
        </w:rPr>
      </w:pPr>
      <w:r w:rsidRPr="001172F1">
        <w:rPr>
          <w:rFonts w:cstheme="minorHAnsi"/>
          <w:sz w:val="20"/>
          <w:szCs w:val="20"/>
        </w:rPr>
        <w:lastRenderedPageBreak/>
        <w:t xml:space="preserve">Nakon proglašenja pobednika pod-grantova od strane opštine i </w:t>
      </w:r>
      <w:r w:rsidRPr="003F5751">
        <w:rPr>
          <w:rFonts w:cstheme="minorHAnsi"/>
          <w:sz w:val="20"/>
          <w:szCs w:val="20"/>
        </w:rPr>
        <w:t>MALS</w:t>
      </w:r>
      <w:r w:rsidRPr="001172F1">
        <w:rPr>
          <w:rFonts w:cstheme="minorHAnsi"/>
          <w:sz w:val="20"/>
          <w:szCs w:val="20"/>
        </w:rPr>
        <w:t xml:space="preserve">-a, JUP obaveštava podnosioce prijava o sledećim zahtevima i procenama životne sredine koje su potrebne za proces pod-granta (Plan </w:t>
      </w:r>
      <w:r>
        <w:rPr>
          <w:rFonts w:cstheme="minorHAnsi"/>
          <w:sz w:val="20"/>
          <w:szCs w:val="20"/>
        </w:rPr>
        <w:t>U</w:t>
      </w:r>
      <w:r w:rsidRPr="001172F1">
        <w:rPr>
          <w:rFonts w:cstheme="minorHAnsi"/>
          <w:sz w:val="20"/>
          <w:szCs w:val="20"/>
        </w:rPr>
        <w:t>pravljanja Ž</w:t>
      </w:r>
      <w:r>
        <w:rPr>
          <w:rFonts w:cstheme="minorHAnsi"/>
          <w:sz w:val="20"/>
          <w:szCs w:val="20"/>
        </w:rPr>
        <w:t>ivotnom i D</w:t>
      </w:r>
      <w:r w:rsidRPr="001172F1">
        <w:rPr>
          <w:rFonts w:cstheme="minorHAnsi"/>
          <w:sz w:val="20"/>
          <w:szCs w:val="20"/>
        </w:rPr>
        <w:t xml:space="preserve">ruštvenom </w:t>
      </w:r>
      <w:r>
        <w:rPr>
          <w:rFonts w:cstheme="minorHAnsi"/>
          <w:sz w:val="20"/>
          <w:szCs w:val="20"/>
        </w:rPr>
        <w:t>S</w:t>
      </w:r>
      <w:r w:rsidRPr="001172F1">
        <w:rPr>
          <w:rFonts w:cstheme="minorHAnsi"/>
          <w:sz w:val="20"/>
          <w:szCs w:val="20"/>
        </w:rPr>
        <w:t>redinom (P</w:t>
      </w:r>
      <w:r>
        <w:rPr>
          <w:rFonts w:cstheme="minorHAnsi"/>
          <w:sz w:val="20"/>
          <w:szCs w:val="20"/>
        </w:rPr>
        <w:t>U</w:t>
      </w:r>
      <w:r w:rsidRPr="001172F1">
        <w:rPr>
          <w:rFonts w:cstheme="minorHAnsi"/>
          <w:sz w:val="20"/>
          <w:szCs w:val="20"/>
        </w:rPr>
        <w:t>Ž</w:t>
      </w:r>
      <w:r>
        <w:rPr>
          <w:rFonts w:cstheme="minorHAnsi"/>
          <w:sz w:val="20"/>
          <w:szCs w:val="20"/>
        </w:rPr>
        <w:t>DS)</w:t>
      </w:r>
      <w:r w:rsidRPr="001172F1">
        <w:rPr>
          <w:rFonts w:cstheme="minorHAnsi"/>
          <w:sz w:val="20"/>
          <w:szCs w:val="20"/>
        </w:rPr>
        <w:t xml:space="preserve"> ili P</w:t>
      </w:r>
      <w:r>
        <w:rPr>
          <w:rFonts w:cstheme="minorHAnsi"/>
          <w:sz w:val="20"/>
          <w:szCs w:val="20"/>
        </w:rPr>
        <w:t>U</w:t>
      </w:r>
      <w:r w:rsidRPr="001172F1">
        <w:rPr>
          <w:rFonts w:cstheme="minorHAnsi"/>
          <w:sz w:val="20"/>
          <w:szCs w:val="20"/>
        </w:rPr>
        <w:t>Ž</w:t>
      </w:r>
      <w:r>
        <w:rPr>
          <w:rFonts w:cstheme="minorHAnsi"/>
          <w:sz w:val="20"/>
          <w:szCs w:val="20"/>
        </w:rPr>
        <w:t>DS</w:t>
      </w:r>
      <w:r w:rsidRPr="001172F1">
        <w:rPr>
          <w:rFonts w:cstheme="minorHAnsi"/>
          <w:sz w:val="20"/>
          <w:szCs w:val="20"/>
        </w:rPr>
        <w:t xml:space="preserve"> </w:t>
      </w:r>
      <w:r>
        <w:rPr>
          <w:rFonts w:cstheme="minorHAnsi"/>
          <w:sz w:val="20"/>
          <w:szCs w:val="20"/>
        </w:rPr>
        <w:t>K</w:t>
      </w:r>
      <w:r w:rsidRPr="001172F1">
        <w:rPr>
          <w:rFonts w:cstheme="minorHAnsi"/>
          <w:sz w:val="20"/>
          <w:szCs w:val="20"/>
        </w:rPr>
        <w:t xml:space="preserve">ontrolna </w:t>
      </w:r>
      <w:r>
        <w:rPr>
          <w:rFonts w:cstheme="minorHAnsi"/>
          <w:sz w:val="20"/>
          <w:szCs w:val="20"/>
        </w:rPr>
        <w:t>L</w:t>
      </w:r>
      <w:r w:rsidRPr="001172F1">
        <w:rPr>
          <w:rFonts w:cstheme="minorHAnsi"/>
          <w:sz w:val="20"/>
          <w:szCs w:val="20"/>
        </w:rPr>
        <w:t xml:space="preserve">ista koji će </w:t>
      </w:r>
      <w:r w:rsidRPr="00E72365">
        <w:rPr>
          <w:rFonts w:cstheme="minorHAnsi"/>
          <w:sz w:val="20"/>
          <w:szCs w:val="20"/>
        </w:rPr>
        <w:t xml:space="preserve">koji će biti predmet procesa </w:t>
      </w:r>
      <w:r w:rsidRPr="001172F1">
        <w:rPr>
          <w:rFonts w:eastAsia="Times New Roman" w:cstheme="minorHAnsi"/>
          <w:sz w:val="20"/>
          <w:szCs w:val="20"/>
        </w:rPr>
        <w:t xml:space="preserve">Javno objavljivanje </w:t>
      </w:r>
      <w:r w:rsidRPr="00E72365">
        <w:rPr>
          <w:rFonts w:cstheme="minorHAnsi"/>
          <w:sz w:val="20"/>
          <w:szCs w:val="20"/>
        </w:rPr>
        <w:t xml:space="preserve">nakon odobrenja </w:t>
      </w:r>
      <w:r>
        <w:rPr>
          <w:rFonts w:cstheme="minorHAnsi"/>
          <w:sz w:val="20"/>
          <w:szCs w:val="20"/>
        </w:rPr>
        <w:t>od JUP-a</w:t>
      </w:r>
      <w:r w:rsidRPr="00E72365">
        <w:rPr>
          <w:rFonts w:cstheme="minorHAnsi"/>
          <w:sz w:val="20"/>
          <w:szCs w:val="20"/>
        </w:rPr>
        <w:t xml:space="preserve"> / Svetske </w:t>
      </w:r>
      <w:r>
        <w:rPr>
          <w:rFonts w:cstheme="minorHAnsi"/>
          <w:sz w:val="20"/>
          <w:szCs w:val="20"/>
        </w:rPr>
        <w:t>B</w:t>
      </w:r>
      <w:r w:rsidRPr="00E72365">
        <w:rPr>
          <w:rFonts w:cstheme="minorHAnsi"/>
          <w:sz w:val="20"/>
          <w:szCs w:val="20"/>
        </w:rPr>
        <w:t>anke.</w:t>
      </w:r>
    </w:p>
    <w:p w14:paraId="546B84B8" w14:textId="77777777" w:rsidR="005A7420" w:rsidRPr="00586DCF" w:rsidRDefault="005A7420" w:rsidP="005A7420">
      <w:pPr>
        <w:rPr>
          <w:sz w:val="20"/>
          <w:szCs w:val="20"/>
        </w:rPr>
      </w:pPr>
      <w:r w:rsidRPr="009A0563">
        <w:rPr>
          <w:b/>
          <w:bCs/>
          <w:sz w:val="20"/>
          <w:szCs w:val="20"/>
        </w:rPr>
        <w:t>Vremenski okvir za svaki ciklus podgranta</w:t>
      </w:r>
    </w:p>
    <w:p w14:paraId="3BCF6E05" w14:textId="77777777" w:rsidR="005A7420" w:rsidRDefault="005A7420" w:rsidP="005A7420">
      <w:pPr>
        <w:rPr>
          <w:rFonts w:cs="Tahoma"/>
          <w:i/>
          <w:iCs/>
          <w:sz w:val="20"/>
          <w:szCs w:val="20"/>
        </w:rPr>
      </w:pPr>
      <w:r w:rsidRPr="00586DCF">
        <w:rPr>
          <w:sz w:val="20"/>
          <w:szCs w:val="20"/>
        </w:rPr>
        <w:t> </w:t>
      </w:r>
      <w:r>
        <w:rPr>
          <w:rFonts w:cs="Tahoma"/>
          <w:i/>
          <w:iCs/>
          <w:sz w:val="20"/>
          <w:szCs w:val="20"/>
        </w:rPr>
        <w:t>Tablica</w:t>
      </w:r>
      <w:r w:rsidRPr="00586DCF">
        <w:rPr>
          <w:rFonts w:cs="Tahoma"/>
          <w:i/>
          <w:iCs/>
          <w:sz w:val="20"/>
          <w:szCs w:val="20"/>
        </w:rPr>
        <w:t xml:space="preserve"> 3: </w:t>
      </w:r>
      <w:r w:rsidRPr="009A0563">
        <w:rPr>
          <w:rFonts w:cs="Tahoma"/>
          <w:i/>
          <w:iCs/>
          <w:sz w:val="20"/>
          <w:szCs w:val="20"/>
        </w:rPr>
        <w:t>Proceduralne faze poziva za podnošenje predloga</w:t>
      </w:r>
    </w:p>
    <w:tbl>
      <w:tblPr>
        <w:tblW w:w="10206" w:type="dxa"/>
        <w:tblInd w:w="10" w:type="dxa"/>
        <w:shd w:val="clear" w:color="auto" w:fill="FFFFFF"/>
        <w:tblCellMar>
          <w:left w:w="0" w:type="dxa"/>
          <w:right w:w="0" w:type="dxa"/>
        </w:tblCellMar>
        <w:tblLook w:val="04A0" w:firstRow="1" w:lastRow="0" w:firstColumn="1" w:lastColumn="0" w:noHBand="0" w:noVBand="1"/>
      </w:tblPr>
      <w:tblGrid>
        <w:gridCol w:w="426"/>
        <w:gridCol w:w="3969"/>
        <w:gridCol w:w="5811"/>
      </w:tblGrid>
      <w:tr w:rsidR="005A7420" w:rsidRPr="00CD70C3" w14:paraId="55BE6640" w14:textId="77777777" w:rsidTr="00E440B5">
        <w:tc>
          <w:tcPr>
            <w:tcW w:w="426" w:type="dxa"/>
            <w:tcBorders>
              <w:top w:val="single" w:sz="8" w:space="0" w:color="auto"/>
              <w:left w:val="single" w:sz="8" w:space="0" w:color="auto"/>
              <w:bottom w:val="single" w:sz="8" w:space="0" w:color="auto"/>
              <w:right w:val="single" w:sz="8" w:space="0" w:color="auto"/>
            </w:tcBorders>
            <w:shd w:val="clear" w:color="auto" w:fill="BFBFBF"/>
          </w:tcPr>
          <w:p w14:paraId="1FBC943A" w14:textId="77777777" w:rsidR="005A7420" w:rsidRPr="00CD70C3" w:rsidRDefault="005A7420" w:rsidP="00E440B5">
            <w:pPr>
              <w:spacing w:after="0" w:line="240" w:lineRule="auto"/>
              <w:jc w:val="both"/>
              <w:rPr>
                <w:rFonts w:eastAsia="Times New Roman" w:cstheme="minorHAnsi"/>
                <w:sz w:val="20"/>
                <w:szCs w:val="20"/>
              </w:rPr>
            </w:pPr>
          </w:p>
        </w:tc>
        <w:tc>
          <w:tcPr>
            <w:tcW w:w="3969"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14:paraId="208F49D1" w14:textId="77777777" w:rsidR="005A7420" w:rsidRPr="00CD70C3" w:rsidRDefault="005A7420" w:rsidP="00E440B5">
            <w:pPr>
              <w:spacing w:after="0" w:line="240" w:lineRule="auto"/>
              <w:jc w:val="both"/>
              <w:rPr>
                <w:rFonts w:eastAsia="Times New Roman" w:cstheme="minorHAnsi"/>
                <w:sz w:val="20"/>
                <w:szCs w:val="20"/>
              </w:rPr>
            </w:pPr>
            <w:r w:rsidRPr="00597874">
              <w:rPr>
                <w:rFonts w:eastAsia="Times New Roman" w:cstheme="minorHAnsi"/>
                <w:sz w:val="20"/>
                <w:szCs w:val="20"/>
              </w:rPr>
              <w:t>Faze aktivnosti</w:t>
            </w:r>
          </w:p>
        </w:tc>
        <w:tc>
          <w:tcPr>
            <w:tcW w:w="5811"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14:paraId="340F9B1D" w14:textId="77777777" w:rsidR="005A7420" w:rsidRPr="00CD70C3" w:rsidRDefault="005A7420" w:rsidP="00E440B5">
            <w:pPr>
              <w:spacing w:after="0" w:line="240" w:lineRule="auto"/>
              <w:jc w:val="both"/>
              <w:rPr>
                <w:rFonts w:eastAsia="Times New Roman" w:cstheme="minorHAnsi"/>
                <w:sz w:val="20"/>
                <w:szCs w:val="20"/>
              </w:rPr>
            </w:pPr>
            <w:r>
              <w:rPr>
                <w:rFonts w:eastAsia="Times New Roman" w:cstheme="minorHAnsi"/>
                <w:sz w:val="20"/>
                <w:szCs w:val="20"/>
              </w:rPr>
              <w:t>Rok</w:t>
            </w:r>
          </w:p>
        </w:tc>
      </w:tr>
      <w:tr w:rsidR="005A7420" w:rsidRPr="00CD70C3" w14:paraId="4379027F" w14:textId="77777777" w:rsidTr="00E440B5">
        <w:tc>
          <w:tcPr>
            <w:tcW w:w="426" w:type="dxa"/>
            <w:tcBorders>
              <w:top w:val="nil"/>
              <w:left w:val="single" w:sz="8" w:space="0" w:color="auto"/>
              <w:bottom w:val="single" w:sz="8" w:space="0" w:color="auto"/>
              <w:right w:val="single" w:sz="8" w:space="0" w:color="auto"/>
            </w:tcBorders>
            <w:shd w:val="clear" w:color="auto" w:fill="FFFFFF"/>
          </w:tcPr>
          <w:p w14:paraId="0465805E" w14:textId="77777777" w:rsidR="005A7420" w:rsidRPr="00CD70C3" w:rsidRDefault="005A7420" w:rsidP="00E440B5">
            <w:pPr>
              <w:spacing w:after="0" w:line="240" w:lineRule="auto"/>
              <w:jc w:val="both"/>
              <w:rPr>
                <w:rFonts w:eastAsia="Times New Roman" w:cstheme="minorHAnsi"/>
                <w:sz w:val="20"/>
                <w:szCs w:val="20"/>
              </w:rPr>
            </w:pPr>
            <w:r>
              <w:rPr>
                <w:rFonts w:eastAsia="Times New Roman" w:cstheme="minorHAnsi"/>
                <w:sz w:val="20"/>
                <w:szCs w:val="20"/>
              </w:rPr>
              <w:t>1</w:t>
            </w:r>
          </w:p>
        </w:tc>
        <w:tc>
          <w:tcPr>
            <w:tcW w:w="396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44FA44D4" w14:textId="77777777" w:rsidR="005A7420" w:rsidRPr="00A340CB" w:rsidRDefault="005A7420" w:rsidP="00E440B5">
            <w:pPr>
              <w:spacing w:after="0" w:line="240" w:lineRule="auto"/>
              <w:jc w:val="both"/>
              <w:rPr>
                <w:rFonts w:eastAsia="Times New Roman" w:cstheme="minorHAnsi"/>
                <w:sz w:val="20"/>
                <w:szCs w:val="20"/>
              </w:rPr>
            </w:pPr>
            <w:r w:rsidRPr="00A340CB">
              <w:rPr>
                <w:rFonts w:eastAsia="Times New Roman" w:cstheme="minorHAnsi"/>
                <w:sz w:val="20"/>
                <w:szCs w:val="20"/>
              </w:rPr>
              <w:t>Rok za prijave</w:t>
            </w:r>
          </w:p>
        </w:tc>
        <w:tc>
          <w:tcPr>
            <w:tcW w:w="581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502F5913" w14:textId="77777777" w:rsidR="005A7420" w:rsidRPr="00A340CB" w:rsidRDefault="005A7420" w:rsidP="00E440B5">
            <w:pPr>
              <w:spacing w:after="0" w:line="240" w:lineRule="auto"/>
              <w:jc w:val="both"/>
              <w:rPr>
                <w:rFonts w:eastAsia="Times New Roman" w:cstheme="minorHAnsi"/>
                <w:sz w:val="20"/>
                <w:szCs w:val="20"/>
              </w:rPr>
            </w:pPr>
            <w:r w:rsidRPr="00A340CB">
              <w:rPr>
                <w:rFonts w:eastAsia="Times New Roman" w:cstheme="minorHAnsi"/>
                <w:sz w:val="20"/>
                <w:szCs w:val="20"/>
              </w:rPr>
              <w:t xml:space="preserve">15 </w:t>
            </w:r>
            <w:r w:rsidRPr="00A340CB">
              <w:rPr>
                <w:rFonts w:eastAsia="Times New Roman" w:cstheme="minorHAnsi"/>
                <w:sz w:val="20"/>
                <w:szCs w:val="20"/>
                <w:u w:val="single"/>
              </w:rPr>
              <w:t>kalendarskih</w:t>
            </w:r>
            <w:r w:rsidRPr="00A340CB">
              <w:rPr>
                <w:rFonts w:eastAsia="Times New Roman" w:cstheme="minorHAnsi"/>
                <w:sz w:val="20"/>
                <w:szCs w:val="20"/>
              </w:rPr>
              <w:t xml:space="preserve"> dana od dana objavljivanja poziva za podnošenje ponuda</w:t>
            </w:r>
          </w:p>
        </w:tc>
      </w:tr>
      <w:tr w:rsidR="005A7420" w:rsidRPr="00CD70C3" w14:paraId="3F062EFD" w14:textId="77777777" w:rsidTr="00E440B5">
        <w:tc>
          <w:tcPr>
            <w:tcW w:w="426" w:type="dxa"/>
            <w:tcBorders>
              <w:top w:val="nil"/>
              <w:left w:val="single" w:sz="8" w:space="0" w:color="auto"/>
              <w:bottom w:val="single" w:sz="8" w:space="0" w:color="auto"/>
              <w:right w:val="single" w:sz="8" w:space="0" w:color="auto"/>
            </w:tcBorders>
            <w:shd w:val="clear" w:color="auto" w:fill="FFFFFF"/>
          </w:tcPr>
          <w:p w14:paraId="14619EC0" w14:textId="77777777" w:rsidR="005A7420" w:rsidRPr="00CD70C3" w:rsidRDefault="005A7420" w:rsidP="00E440B5">
            <w:pPr>
              <w:spacing w:after="0" w:line="240" w:lineRule="auto"/>
              <w:jc w:val="both"/>
              <w:rPr>
                <w:rFonts w:eastAsia="Times New Roman" w:cstheme="minorHAnsi"/>
                <w:sz w:val="20"/>
                <w:szCs w:val="20"/>
              </w:rPr>
            </w:pPr>
            <w:r>
              <w:rPr>
                <w:rFonts w:eastAsia="Times New Roman" w:cstheme="minorHAnsi"/>
                <w:sz w:val="20"/>
                <w:szCs w:val="20"/>
              </w:rPr>
              <w:t>2</w:t>
            </w:r>
          </w:p>
        </w:tc>
        <w:tc>
          <w:tcPr>
            <w:tcW w:w="396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0013F2B6" w14:textId="77777777" w:rsidR="005A7420" w:rsidRPr="00A340CB" w:rsidRDefault="005A7420" w:rsidP="00E440B5">
            <w:pPr>
              <w:spacing w:after="0" w:line="240" w:lineRule="auto"/>
              <w:jc w:val="both"/>
              <w:rPr>
                <w:rFonts w:eastAsia="Times New Roman" w:cstheme="minorHAnsi"/>
                <w:sz w:val="20"/>
                <w:szCs w:val="20"/>
              </w:rPr>
            </w:pPr>
            <w:r w:rsidRPr="00A340CB">
              <w:rPr>
                <w:rFonts w:eastAsia="Times New Roman" w:cstheme="minorHAnsi"/>
                <w:sz w:val="20"/>
                <w:szCs w:val="20"/>
              </w:rPr>
              <w:t>Odabir članova OEP-a od strane FP NVO</w:t>
            </w:r>
          </w:p>
        </w:tc>
        <w:tc>
          <w:tcPr>
            <w:tcW w:w="581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1852E41F" w14:textId="77777777" w:rsidR="005A7420" w:rsidRPr="00A340CB" w:rsidRDefault="005A7420" w:rsidP="00E440B5">
            <w:pPr>
              <w:spacing w:after="0" w:line="240" w:lineRule="auto"/>
              <w:jc w:val="both"/>
              <w:rPr>
                <w:rFonts w:eastAsia="Times New Roman" w:cstheme="minorHAnsi"/>
                <w:sz w:val="20"/>
                <w:szCs w:val="20"/>
              </w:rPr>
            </w:pPr>
            <w:r w:rsidRPr="00A340CB">
              <w:rPr>
                <w:rFonts w:eastAsia="Times New Roman" w:cstheme="minorHAnsi"/>
                <w:sz w:val="20"/>
                <w:szCs w:val="20"/>
              </w:rPr>
              <w:t xml:space="preserve">15 </w:t>
            </w:r>
            <w:r w:rsidRPr="00A340CB">
              <w:rPr>
                <w:rFonts w:eastAsia="Times New Roman" w:cstheme="minorHAnsi"/>
                <w:sz w:val="20"/>
                <w:szCs w:val="20"/>
                <w:u w:val="single"/>
              </w:rPr>
              <w:t>kalendarskih</w:t>
            </w:r>
            <w:r w:rsidRPr="00A340CB">
              <w:rPr>
                <w:rFonts w:eastAsia="Times New Roman" w:cstheme="minorHAnsi"/>
                <w:sz w:val="20"/>
                <w:szCs w:val="20"/>
              </w:rPr>
              <w:t xml:space="preserve"> dana od dana objavljivanja poziva za podnošenje ponuda.</w:t>
            </w:r>
          </w:p>
        </w:tc>
      </w:tr>
      <w:tr w:rsidR="005A7420" w:rsidRPr="00CD70C3" w14:paraId="62DA9B8C" w14:textId="77777777" w:rsidTr="00E440B5">
        <w:tc>
          <w:tcPr>
            <w:tcW w:w="426" w:type="dxa"/>
            <w:tcBorders>
              <w:top w:val="nil"/>
              <w:left w:val="single" w:sz="8" w:space="0" w:color="auto"/>
              <w:bottom w:val="single" w:sz="8" w:space="0" w:color="auto"/>
              <w:right w:val="single" w:sz="8" w:space="0" w:color="auto"/>
            </w:tcBorders>
            <w:shd w:val="clear" w:color="auto" w:fill="FFFFFF"/>
          </w:tcPr>
          <w:p w14:paraId="6B456A1B" w14:textId="77777777" w:rsidR="005A7420" w:rsidRPr="00CD70C3" w:rsidRDefault="005A7420" w:rsidP="00E440B5">
            <w:pPr>
              <w:spacing w:after="0" w:line="240" w:lineRule="auto"/>
              <w:jc w:val="both"/>
              <w:rPr>
                <w:rFonts w:eastAsia="Times New Roman" w:cstheme="minorHAnsi"/>
                <w:sz w:val="20"/>
                <w:szCs w:val="20"/>
              </w:rPr>
            </w:pPr>
            <w:r>
              <w:rPr>
                <w:rFonts w:eastAsia="Times New Roman" w:cstheme="minorHAnsi"/>
                <w:sz w:val="20"/>
                <w:szCs w:val="20"/>
              </w:rPr>
              <w:t>3</w:t>
            </w:r>
          </w:p>
        </w:tc>
        <w:tc>
          <w:tcPr>
            <w:tcW w:w="396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61047F66" w14:textId="77777777" w:rsidR="005A7420" w:rsidRPr="00A340CB" w:rsidRDefault="005A7420" w:rsidP="00E440B5">
            <w:pPr>
              <w:spacing w:after="0" w:line="240" w:lineRule="auto"/>
              <w:jc w:val="both"/>
              <w:rPr>
                <w:rFonts w:eastAsia="Times New Roman" w:cstheme="minorHAnsi"/>
                <w:sz w:val="20"/>
                <w:szCs w:val="20"/>
              </w:rPr>
            </w:pPr>
            <w:r w:rsidRPr="00A340CB">
              <w:rPr>
                <w:rFonts w:eastAsia="Times New Roman" w:cstheme="minorHAnsi"/>
                <w:sz w:val="20"/>
                <w:szCs w:val="20"/>
              </w:rPr>
              <w:t>Organizacija info sesija</w:t>
            </w:r>
          </w:p>
        </w:tc>
        <w:tc>
          <w:tcPr>
            <w:tcW w:w="581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049853FC" w14:textId="77777777" w:rsidR="005A7420" w:rsidRPr="00A340CB" w:rsidRDefault="005A7420" w:rsidP="00E440B5">
            <w:pPr>
              <w:spacing w:after="0" w:line="240" w:lineRule="auto"/>
              <w:jc w:val="both"/>
              <w:rPr>
                <w:rFonts w:eastAsia="Times New Roman" w:cstheme="minorHAnsi"/>
                <w:sz w:val="20"/>
                <w:szCs w:val="20"/>
              </w:rPr>
            </w:pPr>
            <w:r w:rsidRPr="00A340CB">
              <w:rPr>
                <w:rFonts w:eastAsia="Times New Roman" w:cstheme="minorHAnsi"/>
                <w:sz w:val="20"/>
                <w:szCs w:val="20"/>
              </w:rPr>
              <w:t>5 kalendarskih dana nakon objavljivanja poziva</w:t>
            </w:r>
          </w:p>
        </w:tc>
      </w:tr>
      <w:tr w:rsidR="005A7420" w:rsidRPr="00CD70C3" w14:paraId="4367F86B" w14:textId="77777777" w:rsidTr="00E440B5">
        <w:tc>
          <w:tcPr>
            <w:tcW w:w="426" w:type="dxa"/>
            <w:tcBorders>
              <w:top w:val="nil"/>
              <w:left w:val="single" w:sz="8" w:space="0" w:color="auto"/>
              <w:bottom w:val="single" w:sz="8" w:space="0" w:color="auto"/>
              <w:right w:val="single" w:sz="8" w:space="0" w:color="auto"/>
            </w:tcBorders>
            <w:shd w:val="clear" w:color="auto" w:fill="FFFFFF"/>
          </w:tcPr>
          <w:p w14:paraId="778E421E" w14:textId="77777777" w:rsidR="005A7420" w:rsidRPr="00CD70C3" w:rsidRDefault="005A7420" w:rsidP="00E440B5">
            <w:pPr>
              <w:spacing w:after="0" w:line="240" w:lineRule="auto"/>
              <w:jc w:val="both"/>
              <w:rPr>
                <w:rFonts w:eastAsia="Times New Roman" w:cstheme="minorHAnsi"/>
                <w:sz w:val="20"/>
                <w:szCs w:val="20"/>
              </w:rPr>
            </w:pPr>
            <w:r>
              <w:rPr>
                <w:rFonts w:eastAsia="Times New Roman" w:cstheme="minorHAnsi"/>
                <w:sz w:val="20"/>
                <w:szCs w:val="20"/>
              </w:rPr>
              <w:t>4</w:t>
            </w:r>
          </w:p>
        </w:tc>
        <w:tc>
          <w:tcPr>
            <w:tcW w:w="396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278B6732" w14:textId="77777777" w:rsidR="005A7420" w:rsidRPr="00A340CB" w:rsidRDefault="005A7420" w:rsidP="00E440B5">
            <w:pPr>
              <w:spacing w:after="0" w:line="240" w:lineRule="auto"/>
              <w:jc w:val="both"/>
              <w:rPr>
                <w:rFonts w:eastAsia="Times New Roman" w:cstheme="minorHAnsi"/>
                <w:sz w:val="20"/>
                <w:szCs w:val="20"/>
              </w:rPr>
            </w:pPr>
            <w:r w:rsidRPr="00A340CB">
              <w:rPr>
                <w:rFonts w:eastAsia="Times New Roman" w:cstheme="minorHAnsi"/>
                <w:sz w:val="20"/>
                <w:szCs w:val="20"/>
              </w:rPr>
              <w:t>Rok za slanje pitanja o pozivu</w:t>
            </w:r>
          </w:p>
        </w:tc>
        <w:tc>
          <w:tcPr>
            <w:tcW w:w="581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2A02AB07" w14:textId="77777777" w:rsidR="005A7420" w:rsidRPr="00A340CB" w:rsidRDefault="005A7420" w:rsidP="00E440B5">
            <w:pPr>
              <w:spacing w:after="0" w:line="240" w:lineRule="auto"/>
              <w:jc w:val="both"/>
              <w:rPr>
                <w:rFonts w:eastAsia="Times New Roman" w:cstheme="minorHAnsi"/>
                <w:sz w:val="20"/>
                <w:szCs w:val="20"/>
              </w:rPr>
            </w:pPr>
            <w:r w:rsidRPr="00A340CB">
              <w:rPr>
                <w:rFonts w:eastAsia="Times New Roman" w:cstheme="minorHAnsi"/>
                <w:sz w:val="20"/>
                <w:szCs w:val="20"/>
              </w:rPr>
              <w:t>7 kalendarskih dana od dana objavljivanja poziva za podnošenje ponuda</w:t>
            </w:r>
          </w:p>
        </w:tc>
      </w:tr>
      <w:tr w:rsidR="005A7420" w:rsidRPr="00CD70C3" w14:paraId="14F996F2" w14:textId="77777777" w:rsidTr="00E440B5">
        <w:tc>
          <w:tcPr>
            <w:tcW w:w="426" w:type="dxa"/>
            <w:tcBorders>
              <w:top w:val="nil"/>
              <w:left w:val="single" w:sz="8" w:space="0" w:color="auto"/>
              <w:bottom w:val="single" w:sz="8" w:space="0" w:color="auto"/>
              <w:right w:val="single" w:sz="8" w:space="0" w:color="auto"/>
            </w:tcBorders>
            <w:shd w:val="clear" w:color="auto" w:fill="FFFFFF"/>
          </w:tcPr>
          <w:p w14:paraId="06B208A7" w14:textId="77777777" w:rsidR="005A7420" w:rsidRPr="00CD70C3" w:rsidRDefault="005A7420" w:rsidP="00E440B5">
            <w:pPr>
              <w:spacing w:after="0" w:line="240" w:lineRule="auto"/>
              <w:jc w:val="both"/>
              <w:rPr>
                <w:rFonts w:eastAsia="Times New Roman" w:cstheme="minorHAnsi"/>
                <w:sz w:val="20"/>
                <w:szCs w:val="20"/>
              </w:rPr>
            </w:pPr>
            <w:r>
              <w:rPr>
                <w:rFonts w:eastAsia="Times New Roman" w:cstheme="minorHAnsi"/>
                <w:sz w:val="20"/>
                <w:szCs w:val="20"/>
              </w:rPr>
              <w:t>5</w:t>
            </w:r>
          </w:p>
        </w:tc>
        <w:tc>
          <w:tcPr>
            <w:tcW w:w="396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770291BB" w14:textId="77777777" w:rsidR="005A7420" w:rsidRPr="00A340CB" w:rsidRDefault="005A7420" w:rsidP="00E440B5">
            <w:pPr>
              <w:spacing w:after="0" w:line="240" w:lineRule="auto"/>
              <w:jc w:val="both"/>
              <w:rPr>
                <w:rFonts w:eastAsia="Times New Roman" w:cstheme="minorHAnsi"/>
                <w:sz w:val="20"/>
                <w:szCs w:val="20"/>
              </w:rPr>
            </w:pPr>
            <w:r w:rsidRPr="00A340CB">
              <w:rPr>
                <w:rFonts w:eastAsia="Times New Roman" w:cstheme="minorHAnsi"/>
                <w:sz w:val="20"/>
                <w:szCs w:val="20"/>
              </w:rPr>
              <w:t>Rok za slanje odgovora na pitanja vezana za poziv</w:t>
            </w:r>
          </w:p>
        </w:tc>
        <w:tc>
          <w:tcPr>
            <w:tcW w:w="581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389DB370" w14:textId="77777777" w:rsidR="005A7420" w:rsidRPr="00A340CB" w:rsidRDefault="005A7420" w:rsidP="00E440B5">
            <w:pPr>
              <w:spacing w:after="0" w:line="240" w:lineRule="auto"/>
              <w:jc w:val="both"/>
              <w:rPr>
                <w:rFonts w:eastAsia="Times New Roman" w:cstheme="minorHAnsi"/>
                <w:sz w:val="20"/>
                <w:szCs w:val="20"/>
              </w:rPr>
            </w:pPr>
            <w:r w:rsidRPr="00A340CB">
              <w:rPr>
                <w:rFonts w:eastAsia="Times New Roman" w:cstheme="minorHAnsi"/>
                <w:sz w:val="20"/>
                <w:szCs w:val="20"/>
              </w:rPr>
              <w:t>10 kalendarskih dana od prijema pitanja</w:t>
            </w:r>
          </w:p>
        </w:tc>
      </w:tr>
      <w:tr w:rsidR="005A7420" w:rsidRPr="00CD70C3" w14:paraId="63EC6366" w14:textId="77777777" w:rsidTr="00E440B5">
        <w:tc>
          <w:tcPr>
            <w:tcW w:w="426" w:type="dxa"/>
            <w:tcBorders>
              <w:top w:val="nil"/>
              <w:left w:val="single" w:sz="8" w:space="0" w:color="auto"/>
              <w:bottom w:val="single" w:sz="8" w:space="0" w:color="auto"/>
              <w:right w:val="single" w:sz="8" w:space="0" w:color="auto"/>
            </w:tcBorders>
            <w:shd w:val="clear" w:color="auto" w:fill="FFFFFF"/>
          </w:tcPr>
          <w:p w14:paraId="462091CA" w14:textId="77777777" w:rsidR="005A7420" w:rsidRPr="00CD70C3" w:rsidRDefault="005A7420" w:rsidP="00E440B5">
            <w:pPr>
              <w:spacing w:after="0" w:line="240" w:lineRule="auto"/>
              <w:jc w:val="both"/>
              <w:rPr>
                <w:rFonts w:eastAsia="Times New Roman" w:cstheme="minorHAnsi"/>
                <w:sz w:val="20"/>
                <w:szCs w:val="20"/>
              </w:rPr>
            </w:pPr>
            <w:r>
              <w:rPr>
                <w:rFonts w:eastAsia="Times New Roman" w:cstheme="minorHAnsi"/>
                <w:sz w:val="20"/>
                <w:szCs w:val="20"/>
              </w:rPr>
              <w:t>6</w:t>
            </w:r>
          </w:p>
        </w:tc>
        <w:tc>
          <w:tcPr>
            <w:tcW w:w="396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6A85BDFC" w14:textId="77777777" w:rsidR="005A7420" w:rsidRPr="00A340CB" w:rsidRDefault="005A7420" w:rsidP="00E440B5">
            <w:pPr>
              <w:spacing w:after="0" w:line="240" w:lineRule="auto"/>
              <w:jc w:val="both"/>
              <w:rPr>
                <w:rFonts w:eastAsia="Times New Roman" w:cstheme="minorHAnsi"/>
                <w:sz w:val="20"/>
                <w:szCs w:val="20"/>
              </w:rPr>
            </w:pPr>
            <w:r w:rsidRPr="00A340CB">
              <w:rPr>
                <w:rFonts w:eastAsia="Times New Roman" w:cstheme="minorHAnsi"/>
                <w:sz w:val="20"/>
                <w:szCs w:val="20"/>
              </w:rPr>
              <w:t>Rok za tehnički pregled</w:t>
            </w:r>
            <w:r>
              <w:rPr>
                <w:rFonts w:eastAsia="Times New Roman" w:cstheme="minorHAnsi"/>
                <w:sz w:val="20"/>
                <w:szCs w:val="20"/>
              </w:rPr>
              <w:t xml:space="preserve"> i za </w:t>
            </w:r>
            <w:r w:rsidRPr="0027274B">
              <w:rPr>
                <w:rFonts w:cstheme="minorHAnsi"/>
                <w:sz w:val="20"/>
                <w:szCs w:val="20"/>
                <w:shd w:val="clear" w:color="auto" w:fill="FFFFFF"/>
              </w:rPr>
              <w:t>Ekološku</w:t>
            </w:r>
            <w:r>
              <w:rPr>
                <w:rFonts w:ascii="Palatino Linotype" w:hAnsi="Palatino Linotype"/>
                <w:color w:val="4E4B49"/>
                <w:sz w:val="20"/>
                <w:szCs w:val="20"/>
                <w:shd w:val="clear" w:color="auto" w:fill="FFFFFF"/>
              </w:rPr>
              <w:t xml:space="preserve"> i </w:t>
            </w:r>
            <w:r>
              <w:rPr>
                <w:rFonts w:eastAsia="Cambria"/>
                <w:sz w:val="20"/>
                <w:szCs w:val="20"/>
              </w:rPr>
              <w:t>Socijalnu</w:t>
            </w:r>
            <w:r w:rsidRPr="00884A5D">
              <w:rPr>
                <w:rFonts w:eastAsia="Cambria"/>
                <w:sz w:val="20"/>
                <w:szCs w:val="20"/>
              </w:rPr>
              <w:t xml:space="preserve"> </w:t>
            </w:r>
            <w:r>
              <w:rPr>
                <w:rFonts w:eastAsia="Cambria"/>
                <w:sz w:val="20"/>
                <w:szCs w:val="20"/>
              </w:rPr>
              <w:t xml:space="preserve">(E&amp;S) </w:t>
            </w:r>
            <w:r>
              <w:rPr>
                <w:rFonts w:eastAsia="Times New Roman" w:cstheme="minorHAnsi"/>
                <w:sz w:val="20"/>
                <w:szCs w:val="20"/>
              </w:rPr>
              <w:t>Selekciju</w:t>
            </w:r>
          </w:p>
        </w:tc>
        <w:tc>
          <w:tcPr>
            <w:tcW w:w="581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27D650F4" w14:textId="77777777" w:rsidR="005A7420" w:rsidRPr="00A340CB" w:rsidRDefault="005A7420" w:rsidP="00E440B5">
            <w:pPr>
              <w:spacing w:after="0" w:line="240" w:lineRule="auto"/>
              <w:jc w:val="both"/>
              <w:rPr>
                <w:rFonts w:eastAsia="Times New Roman" w:cstheme="minorHAnsi"/>
                <w:sz w:val="20"/>
                <w:szCs w:val="20"/>
              </w:rPr>
            </w:pPr>
            <w:r w:rsidRPr="00A340CB">
              <w:rPr>
                <w:rFonts w:eastAsia="Times New Roman" w:cstheme="minorHAnsi"/>
                <w:sz w:val="20"/>
                <w:szCs w:val="20"/>
              </w:rPr>
              <w:t xml:space="preserve">5 </w:t>
            </w:r>
            <w:r w:rsidRPr="00A340CB">
              <w:rPr>
                <w:rFonts w:eastAsia="Times New Roman" w:cstheme="minorHAnsi"/>
                <w:sz w:val="20"/>
                <w:szCs w:val="20"/>
                <w:u w:val="single"/>
              </w:rPr>
              <w:t>kalendarskih</w:t>
            </w:r>
            <w:r w:rsidRPr="00A340CB">
              <w:rPr>
                <w:rFonts w:eastAsia="Times New Roman" w:cstheme="minorHAnsi"/>
                <w:sz w:val="20"/>
                <w:szCs w:val="20"/>
              </w:rPr>
              <w:t xml:space="preserve"> dana nakon zatvaranja Poziva za podnošenje ponuda</w:t>
            </w:r>
          </w:p>
        </w:tc>
      </w:tr>
      <w:tr w:rsidR="005A7420" w:rsidRPr="00CD70C3" w14:paraId="750B8C68" w14:textId="77777777" w:rsidTr="00E440B5">
        <w:tc>
          <w:tcPr>
            <w:tcW w:w="426" w:type="dxa"/>
            <w:tcBorders>
              <w:top w:val="nil"/>
              <w:left w:val="single" w:sz="8" w:space="0" w:color="auto"/>
              <w:bottom w:val="single" w:sz="8" w:space="0" w:color="auto"/>
              <w:right w:val="single" w:sz="8" w:space="0" w:color="auto"/>
            </w:tcBorders>
            <w:shd w:val="clear" w:color="auto" w:fill="FFFFFF"/>
          </w:tcPr>
          <w:p w14:paraId="7EAE3A2F" w14:textId="77777777" w:rsidR="005A7420" w:rsidRPr="00CD70C3" w:rsidRDefault="005A7420" w:rsidP="00E440B5">
            <w:pPr>
              <w:spacing w:after="0" w:line="240" w:lineRule="auto"/>
              <w:jc w:val="both"/>
              <w:rPr>
                <w:rFonts w:eastAsia="Times New Roman" w:cstheme="minorHAnsi"/>
                <w:sz w:val="20"/>
                <w:szCs w:val="20"/>
              </w:rPr>
            </w:pPr>
            <w:r>
              <w:rPr>
                <w:rFonts w:eastAsia="Times New Roman" w:cstheme="minorHAnsi"/>
                <w:sz w:val="20"/>
                <w:szCs w:val="20"/>
              </w:rPr>
              <w:t>7</w:t>
            </w:r>
          </w:p>
        </w:tc>
        <w:tc>
          <w:tcPr>
            <w:tcW w:w="396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7CFB201F" w14:textId="77777777" w:rsidR="005A7420" w:rsidRPr="00A340CB" w:rsidRDefault="005A7420" w:rsidP="00E440B5">
            <w:pPr>
              <w:spacing w:after="0" w:line="240" w:lineRule="auto"/>
              <w:jc w:val="both"/>
              <w:rPr>
                <w:rFonts w:eastAsia="Times New Roman" w:cstheme="minorHAnsi"/>
                <w:sz w:val="20"/>
                <w:szCs w:val="20"/>
              </w:rPr>
            </w:pPr>
            <w:r w:rsidRPr="00A340CB">
              <w:rPr>
                <w:rFonts w:eastAsia="Times New Roman" w:cstheme="minorHAnsi"/>
                <w:sz w:val="20"/>
                <w:szCs w:val="20"/>
              </w:rPr>
              <w:t>Krajnji rok za podnosioce zahteva da dostave sve nedostajuće dokumente koje je identifikovala FP-NVO</w:t>
            </w:r>
          </w:p>
        </w:tc>
        <w:tc>
          <w:tcPr>
            <w:tcW w:w="581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490C39A0" w14:textId="77777777" w:rsidR="005A7420" w:rsidRPr="00A340CB" w:rsidRDefault="005A7420" w:rsidP="00E440B5">
            <w:pPr>
              <w:spacing w:after="0" w:line="240" w:lineRule="auto"/>
              <w:jc w:val="both"/>
              <w:rPr>
                <w:rFonts w:eastAsia="Times New Roman" w:cstheme="minorHAnsi"/>
                <w:sz w:val="20"/>
                <w:szCs w:val="20"/>
              </w:rPr>
            </w:pPr>
            <w:r w:rsidRPr="00A340CB">
              <w:rPr>
                <w:rFonts w:eastAsia="Times New Roman" w:cstheme="minorHAnsi"/>
                <w:sz w:val="20"/>
                <w:szCs w:val="20"/>
              </w:rPr>
              <w:t xml:space="preserve">5 </w:t>
            </w:r>
            <w:r w:rsidRPr="00A340CB">
              <w:rPr>
                <w:rFonts w:eastAsia="Times New Roman" w:cstheme="minorHAnsi"/>
                <w:sz w:val="20"/>
                <w:szCs w:val="20"/>
                <w:u w:val="single"/>
              </w:rPr>
              <w:t>kalendarskih</w:t>
            </w:r>
            <w:r w:rsidRPr="00A340CB">
              <w:rPr>
                <w:rFonts w:eastAsia="Times New Roman" w:cstheme="minorHAnsi"/>
                <w:sz w:val="20"/>
                <w:szCs w:val="20"/>
              </w:rPr>
              <w:t xml:space="preserve"> dana nakon završenog tehničkog pregleda</w:t>
            </w:r>
          </w:p>
        </w:tc>
      </w:tr>
      <w:tr w:rsidR="005A7420" w:rsidRPr="00CD70C3" w14:paraId="46213453" w14:textId="77777777" w:rsidTr="00E440B5">
        <w:tc>
          <w:tcPr>
            <w:tcW w:w="426" w:type="dxa"/>
            <w:tcBorders>
              <w:top w:val="nil"/>
              <w:left w:val="single" w:sz="8" w:space="0" w:color="auto"/>
              <w:bottom w:val="single" w:sz="8" w:space="0" w:color="auto"/>
              <w:right w:val="single" w:sz="8" w:space="0" w:color="auto"/>
            </w:tcBorders>
            <w:shd w:val="clear" w:color="auto" w:fill="FFFFFF"/>
          </w:tcPr>
          <w:p w14:paraId="57167774" w14:textId="77777777" w:rsidR="005A7420" w:rsidRPr="00CD70C3" w:rsidRDefault="005A7420" w:rsidP="00E440B5">
            <w:pPr>
              <w:spacing w:after="0" w:line="240" w:lineRule="auto"/>
              <w:jc w:val="both"/>
              <w:rPr>
                <w:rFonts w:eastAsia="Times New Roman" w:cstheme="minorHAnsi"/>
                <w:sz w:val="20"/>
                <w:szCs w:val="20"/>
              </w:rPr>
            </w:pPr>
            <w:r>
              <w:rPr>
                <w:rFonts w:eastAsia="Times New Roman" w:cstheme="minorHAnsi"/>
                <w:sz w:val="20"/>
                <w:szCs w:val="20"/>
              </w:rPr>
              <w:t>8</w:t>
            </w:r>
          </w:p>
        </w:tc>
        <w:tc>
          <w:tcPr>
            <w:tcW w:w="396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13F178C8" w14:textId="77777777" w:rsidR="005A7420" w:rsidRPr="00A340CB" w:rsidRDefault="005A7420" w:rsidP="00E440B5">
            <w:pPr>
              <w:spacing w:after="0" w:line="240" w:lineRule="auto"/>
              <w:jc w:val="both"/>
              <w:rPr>
                <w:rFonts w:eastAsia="Times New Roman" w:cstheme="minorHAnsi"/>
                <w:sz w:val="20"/>
                <w:szCs w:val="20"/>
              </w:rPr>
            </w:pPr>
            <w:r w:rsidRPr="00A340CB">
              <w:rPr>
                <w:rFonts w:eastAsia="Times New Roman" w:cstheme="minorHAnsi"/>
                <w:sz w:val="20"/>
                <w:szCs w:val="20"/>
              </w:rPr>
              <w:t>Rok za ocenu prihvatljivosti prijava od strane OEP-a</w:t>
            </w:r>
          </w:p>
        </w:tc>
        <w:tc>
          <w:tcPr>
            <w:tcW w:w="581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31B349C1" w14:textId="77777777" w:rsidR="005A7420" w:rsidRPr="00A340CB" w:rsidRDefault="005A7420" w:rsidP="00E440B5">
            <w:pPr>
              <w:spacing w:after="0" w:line="240" w:lineRule="auto"/>
              <w:jc w:val="both"/>
              <w:rPr>
                <w:rFonts w:eastAsia="Times New Roman" w:cstheme="minorHAnsi"/>
                <w:sz w:val="20"/>
                <w:szCs w:val="20"/>
              </w:rPr>
            </w:pPr>
            <w:r>
              <w:rPr>
                <w:rFonts w:eastAsia="Times New Roman" w:cstheme="minorHAnsi"/>
                <w:sz w:val="20"/>
                <w:szCs w:val="20"/>
              </w:rPr>
              <w:t xml:space="preserve">7 </w:t>
            </w:r>
            <w:r w:rsidRPr="00A340CB">
              <w:rPr>
                <w:rFonts w:eastAsia="Times New Roman" w:cstheme="minorHAnsi"/>
                <w:sz w:val="20"/>
                <w:szCs w:val="20"/>
              </w:rPr>
              <w:t>kalendarskih dana nakon tehničkog pregleda od strane FP NVO</w:t>
            </w:r>
            <w:r>
              <w:rPr>
                <w:rFonts w:eastAsia="Times New Roman" w:cstheme="minorHAnsi"/>
                <w:sz w:val="20"/>
                <w:szCs w:val="20"/>
              </w:rPr>
              <w:t xml:space="preserve"> i i </w:t>
            </w:r>
            <w:r w:rsidRPr="0027274B">
              <w:rPr>
                <w:rFonts w:cstheme="minorHAnsi"/>
                <w:sz w:val="20"/>
                <w:szCs w:val="20"/>
                <w:shd w:val="clear" w:color="auto" w:fill="FFFFFF"/>
              </w:rPr>
              <w:t>Ekološk</w:t>
            </w:r>
            <w:r>
              <w:rPr>
                <w:rFonts w:cstheme="minorHAnsi"/>
                <w:sz w:val="20"/>
                <w:szCs w:val="20"/>
                <w:shd w:val="clear" w:color="auto" w:fill="FFFFFF"/>
              </w:rPr>
              <w:t>e</w:t>
            </w:r>
            <w:r>
              <w:rPr>
                <w:rFonts w:ascii="Palatino Linotype" w:hAnsi="Palatino Linotype"/>
                <w:color w:val="4E4B49"/>
                <w:sz w:val="20"/>
                <w:szCs w:val="20"/>
                <w:shd w:val="clear" w:color="auto" w:fill="FFFFFF"/>
              </w:rPr>
              <w:t xml:space="preserve"> i </w:t>
            </w:r>
            <w:r>
              <w:rPr>
                <w:rFonts w:eastAsia="Cambria"/>
                <w:sz w:val="20"/>
                <w:szCs w:val="20"/>
              </w:rPr>
              <w:t>Socijalne</w:t>
            </w:r>
            <w:r w:rsidRPr="00884A5D">
              <w:rPr>
                <w:rFonts w:eastAsia="Cambria"/>
                <w:sz w:val="20"/>
                <w:szCs w:val="20"/>
              </w:rPr>
              <w:t xml:space="preserve"> </w:t>
            </w:r>
            <w:r>
              <w:rPr>
                <w:rFonts w:eastAsia="Cambria"/>
                <w:sz w:val="20"/>
                <w:szCs w:val="20"/>
              </w:rPr>
              <w:t xml:space="preserve">(E&amp;S) </w:t>
            </w:r>
            <w:r>
              <w:rPr>
                <w:rFonts w:eastAsia="Times New Roman" w:cstheme="minorHAnsi"/>
                <w:sz w:val="20"/>
                <w:szCs w:val="20"/>
              </w:rPr>
              <w:t xml:space="preserve">Selekcije </w:t>
            </w:r>
            <w:r w:rsidRPr="00A340CB">
              <w:rPr>
                <w:rFonts w:eastAsia="Times New Roman" w:cstheme="minorHAnsi"/>
                <w:sz w:val="20"/>
                <w:szCs w:val="20"/>
              </w:rPr>
              <w:t>od strane</w:t>
            </w:r>
            <w:r>
              <w:rPr>
                <w:rFonts w:eastAsia="Times New Roman" w:cstheme="minorHAnsi"/>
                <w:sz w:val="20"/>
                <w:szCs w:val="20"/>
              </w:rPr>
              <w:t xml:space="preserve"> </w:t>
            </w:r>
            <w:r w:rsidRPr="009A0563">
              <w:rPr>
                <w:rFonts w:cs="Calibri"/>
                <w:sz w:val="20"/>
                <w:szCs w:val="20"/>
              </w:rPr>
              <w:t>JUP-a</w:t>
            </w:r>
          </w:p>
        </w:tc>
      </w:tr>
      <w:tr w:rsidR="005A7420" w:rsidRPr="00CD70C3" w14:paraId="2D6CB178" w14:textId="77777777" w:rsidTr="00E440B5">
        <w:tc>
          <w:tcPr>
            <w:tcW w:w="426" w:type="dxa"/>
            <w:tcBorders>
              <w:top w:val="nil"/>
              <w:left w:val="single" w:sz="8" w:space="0" w:color="auto"/>
              <w:bottom w:val="single" w:sz="8" w:space="0" w:color="auto"/>
              <w:right w:val="single" w:sz="8" w:space="0" w:color="auto"/>
            </w:tcBorders>
            <w:shd w:val="clear" w:color="auto" w:fill="FFFFFF"/>
          </w:tcPr>
          <w:p w14:paraId="02E12B5F" w14:textId="77777777" w:rsidR="005A7420" w:rsidRPr="00CD70C3" w:rsidRDefault="005A7420" w:rsidP="00E440B5">
            <w:pPr>
              <w:spacing w:after="0" w:line="240" w:lineRule="auto"/>
              <w:jc w:val="both"/>
              <w:rPr>
                <w:rFonts w:eastAsia="Times New Roman" w:cstheme="minorHAnsi"/>
                <w:sz w:val="20"/>
                <w:szCs w:val="20"/>
              </w:rPr>
            </w:pPr>
            <w:r>
              <w:rPr>
                <w:rFonts w:eastAsia="Times New Roman" w:cstheme="minorHAnsi"/>
                <w:sz w:val="20"/>
                <w:szCs w:val="20"/>
              </w:rPr>
              <w:t>9</w:t>
            </w:r>
          </w:p>
        </w:tc>
        <w:tc>
          <w:tcPr>
            <w:tcW w:w="396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13499F7A" w14:textId="77777777" w:rsidR="005A7420" w:rsidRPr="00A340CB" w:rsidRDefault="005A7420" w:rsidP="00E440B5">
            <w:pPr>
              <w:spacing w:after="0" w:line="240" w:lineRule="auto"/>
              <w:jc w:val="both"/>
              <w:rPr>
                <w:rFonts w:eastAsia="Times New Roman" w:cstheme="minorHAnsi"/>
                <w:sz w:val="20"/>
                <w:szCs w:val="20"/>
              </w:rPr>
            </w:pPr>
            <w:r w:rsidRPr="00A340CB">
              <w:rPr>
                <w:rFonts w:eastAsia="Times New Roman" w:cstheme="minorHAnsi"/>
                <w:sz w:val="20"/>
                <w:szCs w:val="20"/>
              </w:rPr>
              <w:t>Rok za objavljivanje rezultata i obaveštavanje pobednika</w:t>
            </w:r>
          </w:p>
        </w:tc>
        <w:tc>
          <w:tcPr>
            <w:tcW w:w="581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0A77B523" w14:textId="77777777" w:rsidR="005A7420" w:rsidRPr="00A340CB" w:rsidRDefault="005A7420" w:rsidP="00E440B5">
            <w:pPr>
              <w:spacing w:after="0" w:line="240" w:lineRule="auto"/>
              <w:jc w:val="both"/>
              <w:rPr>
                <w:rFonts w:eastAsia="Times New Roman" w:cstheme="minorHAnsi"/>
                <w:sz w:val="20"/>
                <w:szCs w:val="20"/>
              </w:rPr>
            </w:pPr>
            <w:r w:rsidRPr="00A340CB">
              <w:rPr>
                <w:rFonts w:eastAsia="Times New Roman" w:cstheme="minorHAnsi"/>
                <w:sz w:val="20"/>
                <w:szCs w:val="20"/>
              </w:rPr>
              <w:t xml:space="preserve"> 5 kalendarskih dana po usvajanju liste dobitnika podgranta</w:t>
            </w:r>
          </w:p>
        </w:tc>
      </w:tr>
      <w:tr w:rsidR="005A7420" w:rsidRPr="00CD70C3" w14:paraId="7057F74A" w14:textId="77777777" w:rsidTr="00E440B5">
        <w:tc>
          <w:tcPr>
            <w:tcW w:w="426" w:type="dxa"/>
            <w:tcBorders>
              <w:top w:val="nil"/>
              <w:left w:val="single" w:sz="8" w:space="0" w:color="auto"/>
              <w:bottom w:val="single" w:sz="8" w:space="0" w:color="auto"/>
              <w:right w:val="single" w:sz="8" w:space="0" w:color="auto"/>
            </w:tcBorders>
            <w:shd w:val="clear" w:color="auto" w:fill="FFFFFF"/>
          </w:tcPr>
          <w:p w14:paraId="3DE11373" w14:textId="77777777" w:rsidR="005A7420" w:rsidRPr="00CD70C3" w:rsidRDefault="005A7420" w:rsidP="00E440B5">
            <w:pPr>
              <w:spacing w:after="0" w:line="240" w:lineRule="auto"/>
              <w:jc w:val="both"/>
              <w:rPr>
                <w:rFonts w:eastAsia="Times New Roman" w:cstheme="minorHAnsi"/>
                <w:sz w:val="20"/>
                <w:szCs w:val="20"/>
              </w:rPr>
            </w:pPr>
            <w:r>
              <w:rPr>
                <w:rFonts w:eastAsia="Times New Roman" w:cstheme="minorHAnsi"/>
                <w:sz w:val="20"/>
                <w:szCs w:val="20"/>
              </w:rPr>
              <w:t>10</w:t>
            </w:r>
          </w:p>
        </w:tc>
        <w:tc>
          <w:tcPr>
            <w:tcW w:w="396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7EB3E7DC" w14:textId="77777777" w:rsidR="005A7420" w:rsidRPr="00A340CB" w:rsidRDefault="005A7420" w:rsidP="00E440B5">
            <w:pPr>
              <w:spacing w:after="0" w:line="240" w:lineRule="auto"/>
              <w:jc w:val="both"/>
              <w:rPr>
                <w:rFonts w:eastAsia="Times New Roman" w:cstheme="minorHAnsi"/>
                <w:sz w:val="20"/>
                <w:szCs w:val="20"/>
              </w:rPr>
            </w:pPr>
            <w:r w:rsidRPr="00A340CB">
              <w:rPr>
                <w:rFonts w:eastAsia="Times New Roman" w:cstheme="minorHAnsi"/>
                <w:sz w:val="20"/>
                <w:szCs w:val="20"/>
              </w:rPr>
              <w:t>Rok za podnošenje reklamacije</w:t>
            </w:r>
          </w:p>
        </w:tc>
        <w:tc>
          <w:tcPr>
            <w:tcW w:w="581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56D2CEE4" w14:textId="77777777" w:rsidR="005A7420" w:rsidRPr="00A340CB" w:rsidRDefault="005A7420" w:rsidP="00E440B5">
            <w:pPr>
              <w:spacing w:after="0" w:line="240" w:lineRule="auto"/>
              <w:jc w:val="both"/>
              <w:rPr>
                <w:rFonts w:eastAsia="Times New Roman" w:cstheme="minorHAnsi"/>
                <w:sz w:val="20"/>
                <w:szCs w:val="20"/>
              </w:rPr>
            </w:pPr>
            <w:r w:rsidRPr="00A340CB">
              <w:rPr>
                <w:rFonts w:eastAsia="Times New Roman" w:cstheme="minorHAnsi"/>
                <w:sz w:val="20"/>
                <w:szCs w:val="20"/>
              </w:rPr>
              <w:t xml:space="preserve">7 </w:t>
            </w:r>
            <w:r w:rsidRPr="00A340CB">
              <w:rPr>
                <w:rFonts w:eastAsia="Times New Roman" w:cstheme="minorHAnsi"/>
                <w:sz w:val="20"/>
                <w:szCs w:val="20"/>
                <w:u w:val="single"/>
              </w:rPr>
              <w:t>kalendarskih</w:t>
            </w:r>
            <w:r w:rsidRPr="00A340CB">
              <w:rPr>
                <w:rFonts w:eastAsia="Times New Roman" w:cstheme="minorHAnsi"/>
                <w:sz w:val="20"/>
                <w:szCs w:val="20"/>
              </w:rPr>
              <w:t xml:space="preserve"> dana od objavljivanja rezultata</w:t>
            </w:r>
          </w:p>
        </w:tc>
      </w:tr>
      <w:tr w:rsidR="005A7420" w:rsidRPr="00CD70C3" w14:paraId="47ECE034" w14:textId="77777777" w:rsidTr="00E440B5">
        <w:tc>
          <w:tcPr>
            <w:tcW w:w="426" w:type="dxa"/>
            <w:tcBorders>
              <w:top w:val="nil"/>
              <w:left w:val="single" w:sz="8" w:space="0" w:color="auto"/>
              <w:bottom w:val="single" w:sz="8" w:space="0" w:color="auto"/>
              <w:right w:val="single" w:sz="8" w:space="0" w:color="auto"/>
            </w:tcBorders>
            <w:shd w:val="clear" w:color="auto" w:fill="FFFFFF"/>
          </w:tcPr>
          <w:p w14:paraId="79B6B263" w14:textId="77777777" w:rsidR="005A7420" w:rsidRPr="00CD70C3" w:rsidRDefault="005A7420" w:rsidP="00E440B5">
            <w:pPr>
              <w:spacing w:after="0" w:line="240" w:lineRule="auto"/>
              <w:jc w:val="both"/>
              <w:rPr>
                <w:rFonts w:eastAsia="Times New Roman" w:cstheme="minorHAnsi"/>
                <w:sz w:val="20"/>
                <w:szCs w:val="20"/>
              </w:rPr>
            </w:pPr>
            <w:r>
              <w:rPr>
                <w:rFonts w:eastAsia="Times New Roman" w:cstheme="minorHAnsi"/>
                <w:sz w:val="20"/>
                <w:szCs w:val="20"/>
              </w:rPr>
              <w:t>11</w:t>
            </w:r>
          </w:p>
        </w:tc>
        <w:tc>
          <w:tcPr>
            <w:tcW w:w="396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70E67E5E" w14:textId="77777777" w:rsidR="005A7420" w:rsidRPr="00A340CB" w:rsidRDefault="005A7420" w:rsidP="00E440B5">
            <w:pPr>
              <w:spacing w:after="0" w:line="240" w:lineRule="auto"/>
              <w:jc w:val="both"/>
              <w:rPr>
                <w:rFonts w:eastAsia="Times New Roman" w:cstheme="minorHAnsi"/>
                <w:sz w:val="20"/>
                <w:szCs w:val="20"/>
              </w:rPr>
            </w:pPr>
            <w:r w:rsidRPr="00A340CB">
              <w:rPr>
                <w:rFonts w:eastAsia="Times New Roman" w:cstheme="minorHAnsi"/>
                <w:sz w:val="20"/>
                <w:szCs w:val="20"/>
              </w:rPr>
              <w:t>Rok za razmatranje prigovora</w:t>
            </w:r>
          </w:p>
        </w:tc>
        <w:tc>
          <w:tcPr>
            <w:tcW w:w="581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558AC678" w14:textId="77777777" w:rsidR="005A7420" w:rsidRPr="00A340CB" w:rsidRDefault="005A7420" w:rsidP="00E440B5">
            <w:pPr>
              <w:spacing w:after="0" w:line="240" w:lineRule="auto"/>
              <w:jc w:val="both"/>
              <w:rPr>
                <w:rFonts w:eastAsia="Times New Roman" w:cstheme="minorHAnsi"/>
                <w:sz w:val="20"/>
                <w:szCs w:val="20"/>
              </w:rPr>
            </w:pPr>
            <w:r w:rsidRPr="00A340CB">
              <w:rPr>
                <w:rFonts w:eastAsia="Times New Roman" w:cstheme="minorHAnsi"/>
                <w:sz w:val="20"/>
                <w:szCs w:val="20"/>
              </w:rPr>
              <w:t>5 kalendarskih dana nakon isteka roka za prijem reklamacija</w:t>
            </w:r>
          </w:p>
        </w:tc>
      </w:tr>
      <w:tr w:rsidR="005A7420" w:rsidRPr="00CD70C3" w14:paraId="19E49304" w14:textId="77777777" w:rsidTr="00E440B5">
        <w:trPr>
          <w:trHeight w:val="287"/>
        </w:trPr>
        <w:tc>
          <w:tcPr>
            <w:tcW w:w="426" w:type="dxa"/>
            <w:tcBorders>
              <w:top w:val="nil"/>
              <w:left w:val="single" w:sz="8" w:space="0" w:color="auto"/>
              <w:bottom w:val="single" w:sz="8" w:space="0" w:color="auto"/>
              <w:right w:val="single" w:sz="8" w:space="0" w:color="auto"/>
            </w:tcBorders>
            <w:shd w:val="clear" w:color="auto" w:fill="FFFFFF"/>
          </w:tcPr>
          <w:p w14:paraId="65621955" w14:textId="77777777" w:rsidR="005A7420" w:rsidRPr="00CD70C3" w:rsidRDefault="005A7420" w:rsidP="00E440B5">
            <w:pPr>
              <w:spacing w:after="0" w:line="240" w:lineRule="auto"/>
              <w:jc w:val="both"/>
              <w:rPr>
                <w:rFonts w:eastAsia="Times New Roman" w:cstheme="minorHAnsi"/>
                <w:sz w:val="20"/>
                <w:szCs w:val="20"/>
              </w:rPr>
            </w:pPr>
            <w:r>
              <w:rPr>
                <w:rFonts w:eastAsia="Times New Roman" w:cstheme="minorHAnsi"/>
                <w:sz w:val="20"/>
                <w:szCs w:val="20"/>
              </w:rPr>
              <w:t>12</w:t>
            </w:r>
          </w:p>
        </w:tc>
        <w:tc>
          <w:tcPr>
            <w:tcW w:w="396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7F72C80A" w14:textId="77777777" w:rsidR="005A7420" w:rsidRPr="00A340CB" w:rsidRDefault="005A7420" w:rsidP="00E440B5">
            <w:pPr>
              <w:spacing w:after="0" w:line="240" w:lineRule="auto"/>
              <w:jc w:val="both"/>
              <w:rPr>
                <w:rFonts w:eastAsia="Times New Roman" w:cstheme="minorHAnsi"/>
                <w:sz w:val="20"/>
                <w:szCs w:val="20"/>
              </w:rPr>
            </w:pPr>
            <w:r w:rsidRPr="00A340CB">
              <w:rPr>
                <w:rFonts w:eastAsia="Times New Roman" w:cstheme="minorHAnsi"/>
                <w:sz w:val="20"/>
                <w:szCs w:val="20"/>
              </w:rPr>
              <w:t>Rok za ugovaranje</w:t>
            </w:r>
          </w:p>
        </w:tc>
        <w:tc>
          <w:tcPr>
            <w:tcW w:w="581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717112A1" w14:textId="77777777" w:rsidR="005A7420" w:rsidRPr="00A340CB" w:rsidRDefault="005A7420" w:rsidP="00E440B5">
            <w:pPr>
              <w:spacing w:after="0" w:line="240" w:lineRule="auto"/>
              <w:jc w:val="both"/>
              <w:rPr>
                <w:rFonts w:eastAsia="Times New Roman" w:cstheme="minorHAnsi"/>
                <w:sz w:val="20"/>
                <w:szCs w:val="20"/>
              </w:rPr>
            </w:pPr>
            <w:r w:rsidRPr="00A340CB">
              <w:rPr>
                <w:rFonts w:eastAsia="Times New Roman" w:cstheme="minorHAnsi"/>
                <w:sz w:val="20"/>
                <w:szCs w:val="20"/>
              </w:rPr>
              <w:t>14 kalendarskih dana nakon isteka roka za razmatranje prigovora</w:t>
            </w:r>
            <w:r>
              <w:rPr>
                <w:rFonts w:eastAsia="Times New Roman" w:cstheme="minorHAnsi"/>
                <w:sz w:val="20"/>
                <w:szCs w:val="20"/>
              </w:rPr>
              <w:t xml:space="preserve"> (</w:t>
            </w:r>
            <w:r w:rsidRPr="00D74034">
              <w:rPr>
                <w:rFonts w:eastAsia="Times New Roman" w:cstheme="minorHAnsi"/>
                <w:sz w:val="20"/>
                <w:szCs w:val="20"/>
              </w:rPr>
              <w:t>osim ako je podnositelj zahtjeva dužan dostaviti dodatne ekološke i socijalne dokumente, vidi tablicu 4 u nastavku)</w:t>
            </w:r>
          </w:p>
        </w:tc>
      </w:tr>
    </w:tbl>
    <w:p w14:paraId="70E8C2E9" w14:textId="77777777" w:rsidR="005A7420" w:rsidRPr="00586DCF" w:rsidRDefault="005A7420" w:rsidP="005A7420">
      <w:pPr>
        <w:rPr>
          <w:rFonts w:cs="Tahoma"/>
          <w:i/>
          <w:iCs/>
          <w:color w:val="44546A"/>
          <w:sz w:val="20"/>
          <w:szCs w:val="20"/>
        </w:rPr>
      </w:pPr>
    </w:p>
    <w:p w14:paraId="2C8A6945" w14:textId="77777777" w:rsidR="005A7420" w:rsidRDefault="005A7420" w:rsidP="005A7420">
      <w:pPr>
        <w:jc w:val="both"/>
        <w:rPr>
          <w:rFonts w:cs="Calibri"/>
          <w:b/>
          <w:sz w:val="20"/>
          <w:szCs w:val="20"/>
        </w:rPr>
      </w:pPr>
      <w:r w:rsidRPr="00D74034">
        <w:rPr>
          <w:rFonts w:cs="Calibri"/>
          <w:b/>
          <w:sz w:val="20"/>
          <w:szCs w:val="20"/>
        </w:rPr>
        <w:t>Tab</w:t>
      </w:r>
      <w:r>
        <w:rPr>
          <w:rFonts w:cs="Calibri"/>
          <w:b/>
          <w:sz w:val="20"/>
          <w:szCs w:val="20"/>
        </w:rPr>
        <w:t>lic</w:t>
      </w:r>
      <w:r w:rsidRPr="00D74034">
        <w:rPr>
          <w:rFonts w:cs="Calibri"/>
          <w:b/>
          <w:sz w:val="20"/>
          <w:szCs w:val="20"/>
        </w:rPr>
        <w:t xml:space="preserve">a 4:: Dodatni koraci za </w:t>
      </w:r>
      <w:r>
        <w:rPr>
          <w:rFonts w:cstheme="minorHAnsi"/>
          <w:b/>
          <w:bCs/>
          <w:sz w:val="20"/>
          <w:szCs w:val="20"/>
        </w:rPr>
        <w:t>p</w:t>
      </w:r>
      <w:r w:rsidRPr="00D74034">
        <w:rPr>
          <w:rFonts w:cstheme="minorHAnsi"/>
          <w:b/>
          <w:bCs/>
          <w:sz w:val="20"/>
          <w:szCs w:val="20"/>
        </w:rPr>
        <w:t>odnosioci prijave</w:t>
      </w:r>
      <w:r w:rsidRPr="007C6D28">
        <w:rPr>
          <w:rFonts w:cstheme="minorHAnsi"/>
          <w:bCs/>
          <w:sz w:val="20"/>
          <w:szCs w:val="20"/>
        </w:rPr>
        <w:t xml:space="preserve"> </w:t>
      </w:r>
      <w:r w:rsidRPr="00D74034">
        <w:rPr>
          <w:rFonts w:cs="Calibri"/>
          <w:b/>
          <w:sz w:val="20"/>
          <w:szCs w:val="20"/>
        </w:rPr>
        <w:t xml:space="preserve">s dodatnim ekološkim i društvenim zahtjevima (prema rezultatima </w:t>
      </w:r>
      <w:r w:rsidRPr="00D74034">
        <w:rPr>
          <w:rFonts w:eastAsia="Cambria"/>
          <w:b/>
          <w:sz w:val="20"/>
          <w:szCs w:val="20"/>
        </w:rPr>
        <w:t xml:space="preserve">E&amp;S </w:t>
      </w:r>
      <w:r w:rsidRPr="00D74034">
        <w:rPr>
          <w:rFonts w:eastAsia="Times New Roman" w:cstheme="minorHAnsi"/>
          <w:b/>
          <w:sz w:val="20"/>
          <w:szCs w:val="20"/>
        </w:rPr>
        <w:t>Selekcije</w:t>
      </w:r>
      <w:r w:rsidRPr="00D74034">
        <w:rPr>
          <w:rFonts w:cs="Calibri"/>
          <w:b/>
          <w:sz w:val="20"/>
          <w:szCs w:val="20"/>
        </w:rPr>
        <w:t xml:space="preserve"> u točki 8)</w:t>
      </w:r>
    </w:p>
    <w:tbl>
      <w:tblPr>
        <w:tblW w:w="10245" w:type="dxa"/>
        <w:tblInd w:w="10" w:type="dxa"/>
        <w:shd w:val="clear" w:color="auto" w:fill="FFFFFF"/>
        <w:tblCellMar>
          <w:left w:w="0" w:type="dxa"/>
          <w:right w:w="0" w:type="dxa"/>
        </w:tblCellMar>
        <w:tblLook w:val="04A0" w:firstRow="1" w:lastRow="0" w:firstColumn="1" w:lastColumn="0" w:noHBand="0" w:noVBand="1"/>
      </w:tblPr>
      <w:tblGrid>
        <w:gridCol w:w="533"/>
        <w:gridCol w:w="3934"/>
        <w:gridCol w:w="5778"/>
      </w:tblGrid>
      <w:tr w:rsidR="005A7420" w:rsidRPr="00AA0B9E" w14:paraId="192E3609" w14:textId="77777777" w:rsidTr="00E440B5">
        <w:trPr>
          <w:trHeight w:val="285"/>
        </w:trPr>
        <w:tc>
          <w:tcPr>
            <w:tcW w:w="533" w:type="dxa"/>
            <w:tcBorders>
              <w:top w:val="single" w:sz="8" w:space="0" w:color="auto"/>
              <w:left w:val="single" w:sz="8" w:space="0" w:color="auto"/>
              <w:bottom w:val="single" w:sz="8" w:space="0" w:color="auto"/>
              <w:right w:val="single" w:sz="8" w:space="0" w:color="auto"/>
            </w:tcBorders>
            <w:shd w:val="clear" w:color="auto" w:fill="BFBFBF"/>
          </w:tcPr>
          <w:p w14:paraId="54F54306" w14:textId="77777777" w:rsidR="005A7420" w:rsidRPr="00CD70C3" w:rsidRDefault="005A7420" w:rsidP="00E440B5">
            <w:pPr>
              <w:spacing w:after="0" w:line="240" w:lineRule="auto"/>
              <w:jc w:val="both"/>
              <w:rPr>
                <w:rFonts w:eastAsia="Times New Roman" w:cstheme="minorHAnsi"/>
                <w:sz w:val="20"/>
                <w:szCs w:val="20"/>
              </w:rPr>
            </w:pPr>
          </w:p>
        </w:tc>
        <w:tc>
          <w:tcPr>
            <w:tcW w:w="3934"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14:paraId="6019178B" w14:textId="77777777" w:rsidR="005A7420" w:rsidRPr="00AA0B9E" w:rsidRDefault="005A7420" w:rsidP="00E440B5">
            <w:pPr>
              <w:spacing w:after="0" w:line="240" w:lineRule="auto"/>
              <w:jc w:val="both"/>
              <w:rPr>
                <w:rFonts w:eastAsia="Times New Roman" w:cstheme="minorHAnsi"/>
                <w:sz w:val="20"/>
                <w:szCs w:val="20"/>
              </w:rPr>
            </w:pPr>
            <w:r w:rsidRPr="00597874">
              <w:rPr>
                <w:rFonts w:eastAsia="Times New Roman" w:cstheme="minorHAnsi"/>
                <w:sz w:val="20"/>
                <w:szCs w:val="20"/>
              </w:rPr>
              <w:t>Faze aktivnosti</w:t>
            </w:r>
          </w:p>
        </w:tc>
        <w:tc>
          <w:tcPr>
            <w:tcW w:w="5778"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14:paraId="3DA90B95" w14:textId="77777777" w:rsidR="005A7420" w:rsidRPr="00AA0B9E" w:rsidRDefault="005A7420" w:rsidP="00E440B5">
            <w:pPr>
              <w:spacing w:after="0" w:line="240" w:lineRule="auto"/>
              <w:jc w:val="both"/>
              <w:rPr>
                <w:rFonts w:eastAsia="Times New Roman" w:cstheme="minorHAnsi"/>
                <w:sz w:val="20"/>
                <w:szCs w:val="20"/>
              </w:rPr>
            </w:pPr>
            <w:r>
              <w:rPr>
                <w:rFonts w:eastAsia="Times New Roman" w:cstheme="minorHAnsi"/>
                <w:sz w:val="20"/>
                <w:szCs w:val="20"/>
              </w:rPr>
              <w:t>Rok</w:t>
            </w:r>
          </w:p>
        </w:tc>
      </w:tr>
      <w:tr w:rsidR="005A7420" w:rsidRPr="00AA0B9E" w14:paraId="402498D1" w14:textId="77777777" w:rsidTr="00E440B5">
        <w:trPr>
          <w:trHeight w:val="238"/>
        </w:trPr>
        <w:tc>
          <w:tcPr>
            <w:tcW w:w="533" w:type="dxa"/>
            <w:tcBorders>
              <w:top w:val="nil"/>
              <w:left w:val="single" w:sz="8" w:space="0" w:color="auto"/>
              <w:bottom w:val="single" w:sz="8" w:space="0" w:color="auto"/>
              <w:right w:val="single" w:sz="8" w:space="0" w:color="auto"/>
            </w:tcBorders>
            <w:shd w:val="clear" w:color="auto" w:fill="FFFFFF"/>
          </w:tcPr>
          <w:p w14:paraId="1CDBC81F" w14:textId="77777777" w:rsidR="005A7420" w:rsidRPr="00AA0B9E" w:rsidRDefault="005A7420" w:rsidP="00E440B5">
            <w:pPr>
              <w:spacing w:after="0" w:line="240" w:lineRule="auto"/>
              <w:jc w:val="both"/>
              <w:rPr>
                <w:rFonts w:eastAsia="Times New Roman" w:cstheme="minorHAnsi"/>
                <w:sz w:val="20"/>
                <w:szCs w:val="20"/>
              </w:rPr>
            </w:pPr>
            <w:r w:rsidRPr="00AA0B9E">
              <w:rPr>
                <w:rFonts w:eastAsia="Times New Roman" w:cstheme="minorHAnsi"/>
                <w:sz w:val="20"/>
                <w:szCs w:val="20"/>
              </w:rPr>
              <w:t>A</w:t>
            </w:r>
          </w:p>
        </w:tc>
        <w:tc>
          <w:tcPr>
            <w:tcW w:w="393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3699005D" w14:textId="77777777" w:rsidR="005A7420" w:rsidRPr="00AA0B9E" w:rsidRDefault="005A7420" w:rsidP="00E440B5">
            <w:pPr>
              <w:spacing w:after="0" w:line="240" w:lineRule="auto"/>
              <w:jc w:val="both"/>
              <w:rPr>
                <w:rFonts w:eastAsia="Times New Roman" w:cstheme="minorHAnsi"/>
                <w:sz w:val="20"/>
                <w:szCs w:val="20"/>
              </w:rPr>
            </w:pPr>
            <w:r w:rsidRPr="00E363BC">
              <w:rPr>
                <w:rFonts w:eastAsia="Times New Roman" w:cstheme="minorHAnsi"/>
                <w:sz w:val="20"/>
                <w:szCs w:val="20"/>
              </w:rPr>
              <w:t xml:space="preserve">Rok za predaju </w:t>
            </w:r>
            <w:r w:rsidRPr="001172F1">
              <w:rPr>
                <w:rFonts w:cstheme="minorHAnsi"/>
                <w:sz w:val="20"/>
                <w:szCs w:val="20"/>
              </w:rPr>
              <w:t>P</w:t>
            </w:r>
            <w:r>
              <w:rPr>
                <w:rFonts w:cstheme="minorHAnsi"/>
                <w:sz w:val="20"/>
                <w:szCs w:val="20"/>
              </w:rPr>
              <w:t>U</w:t>
            </w:r>
            <w:r w:rsidRPr="001172F1">
              <w:rPr>
                <w:rFonts w:cstheme="minorHAnsi"/>
                <w:sz w:val="20"/>
                <w:szCs w:val="20"/>
              </w:rPr>
              <w:t>Ž</w:t>
            </w:r>
            <w:r>
              <w:rPr>
                <w:rFonts w:cstheme="minorHAnsi"/>
                <w:sz w:val="20"/>
                <w:szCs w:val="20"/>
              </w:rPr>
              <w:t>DS</w:t>
            </w:r>
            <w:r w:rsidRPr="001172F1">
              <w:rPr>
                <w:rFonts w:cstheme="minorHAnsi"/>
                <w:sz w:val="20"/>
                <w:szCs w:val="20"/>
              </w:rPr>
              <w:t xml:space="preserve"> </w:t>
            </w:r>
            <w:r w:rsidRPr="00E363BC">
              <w:rPr>
                <w:rFonts w:eastAsia="Times New Roman" w:cstheme="minorHAnsi"/>
                <w:sz w:val="20"/>
                <w:szCs w:val="20"/>
              </w:rPr>
              <w:t xml:space="preserve">ili </w:t>
            </w:r>
            <w:r w:rsidRPr="001172F1">
              <w:rPr>
                <w:rFonts w:cstheme="minorHAnsi"/>
                <w:sz w:val="20"/>
                <w:szCs w:val="20"/>
              </w:rPr>
              <w:t>P</w:t>
            </w:r>
            <w:r>
              <w:rPr>
                <w:rFonts w:cstheme="minorHAnsi"/>
                <w:sz w:val="20"/>
                <w:szCs w:val="20"/>
              </w:rPr>
              <w:t>U</w:t>
            </w:r>
            <w:r w:rsidRPr="001172F1">
              <w:rPr>
                <w:rFonts w:cstheme="minorHAnsi"/>
                <w:sz w:val="20"/>
                <w:szCs w:val="20"/>
              </w:rPr>
              <w:t>Ž</w:t>
            </w:r>
            <w:r>
              <w:rPr>
                <w:rFonts w:cstheme="minorHAnsi"/>
                <w:sz w:val="20"/>
                <w:szCs w:val="20"/>
              </w:rPr>
              <w:t>DS</w:t>
            </w:r>
            <w:r w:rsidRPr="001172F1">
              <w:rPr>
                <w:rFonts w:cstheme="minorHAnsi"/>
                <w:sz w:val="20"/>
                <w:szCs w:val="20"/>
              </w:rPr>
              <w:t xml:space="preserve"> </w:t>
            </w:r>
            <w:r>
              <w:rPr>
                <w:rFonts w:eastAsia="Times New Roman" w:cstheme="minorHAnsi"/>
                <w:sz w:val="20"/>
                <w:szCs w:val="20"/>
              </w:rPr>
              <w:t>K</w:t>
            </w:r>
            <w:r w:rsidRPr="00E363BC">
              <w:rPr>
                <w:rFonts w:eastAsia="Times New Roman" w:cstheme="minorHAnsi"/>
                <w:sz w:val="20"/>
                <w:szCs w:val="20"/>
              </w:rPr>
              <w:t xml:space="preserve">ontrolnu </w:t>
            </w:r>
            <w:r>
              <w:rPr>
                <w:rFonts w:eastAsia="Times New Roman" w:cstheme="minorHAnsi"/>
                <w:sz w:val="20"/>
                <w:szCs w:val="20"/>
              </w:rPr>
              <w:t>L</w:t>
            </w:r>
            <w:r w:rsidRPr="00E363BC">
              <w:rPr>
                <w:rFonts w:eastAsia="Times New Roman" w:cstheme="minorHAnsi"/>
                <w:sz w:val="20"/>
                <w:szCs w:val="20"/>
              </w:rPr>
              <w:t>istu, ako je potrebno</w:t>
            </w:r>
          </w:p>
        </w:tc>
        <w:tc>
          <w:tcPr>
            <w:tcW w:w="577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26AFC4FB" w14:textId="77777777" w:rsidR="005A7420" w:rsidRPr="00AA0B9E" w:rsidRDefault="005A7420" w:rsidP="00E440B5">
            <w:pPr>
              <w:spacing w:after="0" w:line="240" w:lineRule="auto"/>
              <w:jc w:val="both"/>
              <w:rPr>
                <w:rFonts w:eastAsia="Times New Roman" w:cstheme="minorHAnsi"/>
                <w:sz w:val="20"/>
                <w:szCs w:val="20"/>
              </w:rPr>
            </w:pPr>
            <w:r>
              <w:rPr>
                <w:rFonts w:eastAsia="Times New Roman" w:cstheme="minorHAnsi"/>
                <w:sz w:val="20"/>
                <w:szCs w:val="20"/>
              </w:rPr>
              <w:t>1</w:t>
            </w:r>
            <w:r w:rsidRPr="00E363BC">
              <w:rPr>
                <w:rFonts w:eastAsia="Times New Roman" w:cstheme="minorHAnsi"/>
                <w:sz w:val="20"/>
                <w:szCs w:val="20"/>
              </w:rPr>
              <w:t xml:space="preserve">0 kalendarskih dana nakon obavijesti podnositela </w:t>
            </w:r>
            <w:r w:rsidRPr="00E363BC">
              <w:rPr>
                <w:rFonts w:cstheme="minorHAnsi"/>
                <w:bCs/>
                <w:sz w:val="20"/>
                <w:szCs w:val="20"/>
              </w:rPr>
              <w:t>prijave</w:t>
            </w:r>
            <w:r w:rsidRPr="007C6D28">
              <w:rPr>
                <w:rFonts w:cstheme="minorHAnsi"/>
                <w:bCs/>
                <w:sz w:val="20"/>
                <w:szCs w:val="20"/>
              </w:rPr>
              <w:t xml:space="preserve"> </w:t>
            </w:r>
            <w:r w:rsidRPr="00E363BC">
              <w:rPr>
                <w:rFonts w:eastAsia="Times New Roman" w:cstheme="minorHAnsi"/>
                <w:sz w:val="20"/>
                <w:szCs w:val="20"/>
              </w:rPr>
              <w:t>o naknad</w:t>
            </w:r>
            <w:r>
              <w:rPr>
                <w:rFonts w:eastAsia="Times New Roman" w:cstheme="minorHAnsi"/>
                <w:sz w:val="20"/>
                <w:szCs w:val="20"/>
              </w:rPr>
              <w:t>nim ekološkim i društvenim zaht</w:t>
            </w:r>
            <w:r w:rsidRPr="00E363BC">
              <w:rPr>
                <w:rFonts w:eastAsia="Times New Roman" w:cstheme="minorHAnsi"/>
                <w:sz w:val="20"/>
                <w:szCs w:val="20"/>
              </w:rPr>
              <w:t>evima</w:t>
            </w:r>
          </w:p>
        </w:tc>
      </w:tr>
      <w:tr w:rsidR="005A7420" w:rsidRPr="00AA0B9E" w14:paraId="6826E9EE" w14:textId="77777777" w:rsidTr="00E440B5">
        <w:trPr>
          <w:trHeight w:val="238"/>
        </w:trPr>
        <w:tc>
          <w:tcPr>
            <w:tcW w:w="533" w:type="dxa"/>
            <w:tcBorders>
              <w:top w:val="nil"/>
              <w:left w:val="single" w:sz="8" w:space="0" w:color="auto"/>
              <w:bottom w:val="single" w:sz="8" w:space="0" w:color="auto"/>
              <w:right w:val="single" w:sz="8" w:space="0" w:color="auto"/>
            </w:tcBorders>
            <w:shd w:val="clear" w:color="auto" w:fill="FFFFFF"/>
          </w:tcPr>
          <w:p w14:paraId="57075647" w14:textId="77777777" w:rsidR="005A7420" w:rsidRPr="00AA0B9E" w:rsidRDefault="005A7420" w:rsidP="00E440B5">
            <w:pPr>
              <w:spacing w:after="0" w:line="240" w:lineRule="auto"/>
              <w:jc w:val="both"/>
              <w:rPr>
                <w:rFonts w:eastAsia="Times New Roman" w:cstheme="minorHAnsi"/>
                <w:sz w:val="20"/>
                <w:szCs w:val="20"/>
              </w:rPr>
            </w:pPr>
            <w:r w:rsidRPr="00AA0B9E">
              <w:rPr>
                <w:rFonts w:eastAsia="Times New Roman" w:cstheme="minorHAnsi"/>
                <w:sz w:val="20"/>
                <w:szCs w:val="20"/>
              </w:rPr>
              <w:t>B</w:t>
            </w:r>
          </w:p>
        </w:tc>
        <w:tc>
          <w:tcPr>
            <w:tcW w:w="393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4F85BF27" w14:textId="77777777" w:rsidR="005A7420" w:rsidRPr="00AA0B9E" w:rsidRDefault="005A7420" w:rsidP="00E440B5">
            <w:pPr>
              <w:spacing w:after="0" w:line="240" w:lineRule="auto"/>
              <w:jc w:val="both"/>
              <w:rPr>
                <w:rFonts w:eastAsia="Times New Roman" w:cstheme="minorHAnsi"/>
                <w:sz w:val="20"/>
                <w:szCs w:val="20"/>
              </w:rPr>
            </w:pPr>
            <w:r w:rsidRPr="00E363BC">
              <w:rPr>
                <w:rFonts w:eastAsia="Times New Roman" w:cstheme="minorHAnsi"/>
                <w:sz w:val="20"/>
                <w:szCs w:val="20"/>
              </w:rPr>
              <w:t xml:space="preserve">Rok za pregled i odobrenje </w:t>
            </w:r>
            <w:r w:rsidRPr="001172F1">
              <w:rPr>
                <w:rFonts w:cstheme="minorHAnsi"/>
                <w:sz w:val="20"/>
                <w:szCs w:val="20"/>
              </w:rPr>
              <w:t>P</w:t>
            </w:r>
            <w:r>
              <w:rPr>
                <w:rFonts w:cstheme="minorHAnsi"/>
                <w:sz w:val="20"/>
                <w:szCs w:val="20"/>
              </w:rPr>
              <w:t>U</w:t>
            </w:r>
            <w:r w:rsidRPr="001172F1">
              <w:rPr>
                <w:rFonts w:cstheme="minorHAnsi"/>
                <w:sz w:val="20"/>
                <w:szCs w:val="20"/>
              </w:rPr>
              <w:t>Ž</w:t>
            </w:r>
            <w:r>
              <w:rPr>
                <w:rFonts w:cstheme="minorHAnsi"/>
                <w:sz w:val="20"/>
                <w:szCs w:val="20"/>
              </w:rPr>
              <w:t>DS</w:t>
            </w:r>
            <w:r w:rsidRPr="001172F1">
              <w:rPr>
                <w:rFonts w:cstheme="minorHAnsi"/>
                <w:sz w:val="20"/>
                <w:szCs w:val="20"/>
              </w:rPr>
              <w:t xml:space="preserve"> </w:t>
            </w:r>
            <w:r w:rsidRPr="00E363BC">
              <w:rPr>
                <w:rFonts w:eastAsia="Times New Roman" w:cstheme="minorHAnsi"/>
                <w:sz w:val="20"/>
                <w:szCs w:val="20"/>
              </w:rPr>
              <w:t xml:space="preserve">ili </w:t>
            </w:r>
            <w:r w:rsidRPr="001172F1">
              <w:rPr>
                <w:rFonts w:cstheme="minorHAnsi"/>
                <w:sz w:val="20"/>
                <w:szCs w:val="20"/>
              </w:rPr>
              <w:t>P</w:t>
            </w:r>
            <w:r>
              <w:rPr>
                <w:rFonts w:cstheme="minorHAnsi"/>
                <w:sz w:val="20"/>
                <w:szCs w:val="20"/>
              </w:rPr>
              <w:t>U</w:t>
            </w:r>
            <w:r w:rsidRPr="001172F1">
              <w:rPr>
                <w:rFonts w:cstheme="minorHAnsi"/>
                <w:sz w:val="20"/>
                <w:szCs w:val="20"/>
              </w:rPr>
              <w:t>Ž</w:t>
            </w:r>
            <w:r>
              <w:rPr>
                <w:rFonts w:cstheme="minorHAnsi"/>
                <w:sz w:val="20"/>
                <w:szCs w:val="20"/>
              </w:rPr>
              <w:t>DS</w:t>
            </w:r>
            <w:r w:rsidRPr="001172F1">
              <w:rPr>
                <w:rFonts w:cstheme="minorHAnsi"/>
                <w:sz w:val="20"/>
                <w:szCs w:val="20"/>
              </w:rPr>
              <w:t xml:space="preserve"> </w:t>
            </w:r>
            <w:r>
              <w:rPr>
                <w:rFonts w:eastAsia="Times New Roman" w:cstheme="minorHAnsi"/>
                <w:sz w:val="20"/>
                <w:szCs w:val="20"/>
              </w:rPr>
              <w:t>Kontrolne L</w:t>
            </w:r>
            <w:r w:rsidRPr="00E363BC">
              <w:rPr>
                <w:rFonts w:eastAsia="Times New Roman" w:cstheme="minorHAnsi"/>
                <w:sz w:val="20"/>
                <w:szCs w:val="20"/>
              </w:rPr>
              <w:t xml:space="preserve">iste od strane </w:t>
            </w:r>
            <w:r w:rsidRPr="009A0563">
              <w:rPr>
                <w:rFonts w:cs="Calibri"/>
                <w:sz w:val="20"/>
                <w:szCs w:val="20"/>
              </w:rPr>
              <w:t>JUP-a</w:t>
            </w:r>
            <w:r w:rsidRPr="00E363BC">
              <w:rPr>
                <w:rFonts w:eastAsia="Times New Roman" w:cstheme="minorHAnsi"/>
                <w:sz w:val="20"/>
                <w:szCs w:val="20"/>
              </w:rPr>
              <w:t xml:space="preserve"> </w:t>
            </w:r>
            <w:r>
              <w:rPr>
                <w:rFonts w:eastAsia="Times New Roman" w:cstheme="minorHAnsi"/>
                <w:sz w:val="20"/>
                <w:szCs w:val="20"/>
              </w:rPr>
              <w:t>/ Sve</w:t>
            </w:r>
            <w:r w:rsidRPr="00E363BC">
              <w:rPr>
                <w:rFonts w:eastAsia="Times New Roman" w:cstheme="minorHAnsi"/>
                <w:sz w:val="20"/>
                <w:szCs w:val="20"/>
              </w:rPr>
              <w:t xml:space="preserve">tske </w:t>
            </w:r>
            <w:r>
              <w:rPr>
                <w:rFonts w:eastAsia="Times New Roman" w:cstheme="minorHAnsi"/>
                <w:sz w:val="20"/>
                <w:szCs w:val="20"/>
              </w:rPr>
              <w:t>B</w:t>
            </w:r>
            <w:r w:rsidRPr="00E363BC">
              <w:rPr>
                <w:rFonts w:eastAsia="Times New Roman" w:cstheme="minorHAnsi"/>
                <w:sz w:val="20"/>
                <w:szCs w:val="20"/>
              </w:rPr>
              <w:t>anke</w:t>
            </w:r>
          </w:p>
        </w:tc>
        <w:tc>
          <w:tcPr>
            <w:tcW w:w="577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59032172" w14:textId="77777777" w:rsidR="005A7420" w:rsidRPr="00AA0B9E" w:rsidRDefault="005A7420" w:rsidP="00E440B5">
            <w:pPr>
              <w:spacing w:after="0" w:line="240" w:lineRule="auto"/>
              <w:jc w:val="both"/>
              <w:rPr>
                <w:rFonts w:eastAsia="Times New Roman" w:cstheme="minorHAnsi"/>
                <w:sz w:val="20"/>
                <w:szCs w:val="20"/>
              </w:rPr>
            </w:pPr>
            <w:r>
              <w:rPr>
                <w:rFonts w:eastAsia="Times New Roman" w:cstheme="minorHAnsi"/>
                <w:sz w:val="20"/>
                <w:szCs w:val="20"/>
              </w:rPr>
              <w:t>1</w:t>
            </w:r>
            <w:r w:rsidRPr="00E363BC">
              <w:rPr>
                <w:rFonts w:eastAsia="Times New Roman" w:cstheme="minorHAnsi"/>
                <w:sz w:val="20"/>
                <w:szCs w:val="20"/>
              </w:rPr>
              <w:t xml:space="preserve">0 kalendarskih dana od primitka </w:t>
            </w:r>
            <w:r w:rsidRPr="001172F1">
              <w:rPr>
                <w:rFonts w:cstheme="minorHAnsi"/>
                <w:sz w:val="20"/>
                <w:szCs w:val="20"/>
              </w:rPr>
              <w:t>P</w:t>
            </w:r>
            <w:r>
              <w:rPr>
                <w:rFonts w:cstheme="minorHAnsi"/>
                <w:sz w:val="20"/>
                <w:szCs w:val="20"/>
              </w:rPr>
              <w:t>U</w:t>
            </w:r>
            <w:r w:rsidRPr="001172F1">
              <w:rPr>
                <w:rFonts w:cstheme="minorHAnsi"/>
                <w:sz w:val="20"/>
                <w:szCs w:val="20"/>
              </w:rPr>
              <w:t>Ž</w:t>
            </w:r>
            <w:r>
              <w:rPr>
                <w:rFonts w:cstheme="minorHAnsi"/>
                <w:sz w:val="20"/>
                <w:szCs w:val="20"/>
              </w:rPr>
              <w:t>DS</w:t>
            </w:r>
            <w:r w:rsidRPr="001172F1">
              <w:rPr>
                <w:rFonts w:cstheme="minorHAnsi"/>
                <w:sz w:val="20"/>
                <w:szCs w:val="20"/>
              </w:rPr>
              <w:t xml:space="preserve"> </w:t>
            </w:r>
            <w:r w:rsidRPr="00E363BC">
              <w:rPr>
                <w:rFonts w:eastAsia="Times New Roman" w:cstheme="minorHAnsi"/>
                <w:sz w:val="20"/>
                <w:szCs w:val="20"/>
              </w:rPr>
              <w:t xml:space="preserve">ili </w:t>
            </w:r>
            <w:r w:rsidRPr="001172F1">
              <w:rPr>
                <w:rFonts w:cstheme="minorHAnsi"/>
                <w:sz w:val="20"/>
                <w:szCs w:val="20"/>
              </w:rPr>
              <w:t>P</w:t>
            </w:r>
            <w:r>
              <w:rPr>
                <w:rFonts w:cstheme="minorHAnsi"/>
                <w:sz w:val="20"/>
                <w:szCs w:val="20"/>
              </w:rPr>
              <w:t>U</w:t>
            </w:r>
            <w:r w:rsidRPr="001172F1">
              <w:rPr>
                <w:rFonts w:cstheme="minorHAnsi"/>
                <w:sz w:val="20"/>
                <w:szCs w:val="20"/>
              </w:rPr>
              <w:t>Ž</w:t>
            </w:r>
            <w:r>
              <w:rPr>
                <w:rFonts w:cstheme="minorHAnsi"/>
                <w:sz w:val="20"/>
                <w:szCs w:val="20"/>
              </w:rPr>
              <w:t>DS</w:t>
            </w:r>
            <w:r w:rsidRPr="001172F1">
              <w:rPr>
                <w:rFonts w:cstheme="minorHAnsi"/>
                <w:sz w:val="20"/>
                <w:szCs w:val="20"/>
              </w:rPr>
              <w:t xml:space="preserve"> </w:t>
            </w:r>
            <w:r>
              <w:rPr>
                <w:rFonts w:eastAsia="Times New Roman" w:cstheme="minorHAnsi"/>
                <w:sz w:val="20"/>
                <w:szCs w:val="20"/>
              </w:rPr>
              <w:t>K</w:t>
            </w:r>
            <w:r w:rsidRPr="00E363BC">
              <w:rPr>
                <w:rFonts w:eastAsia="Times New Roman" w:cstheme="minorHAnsi"/>
                <w:sz w:val="20"/>
                <w:szCs w:val="20"/>
              </w:rPr>
              <w:t xml:space="preserve">ontrolne </w:t>
            </w:r>
            <w:r>
              <w:rPr>
                <w:rFonts w:eastAsia="Times New Roman" w:cstheme="minorHAnsi"/>
                <w:sz w:val="20"/>
                <w:szCs w:val="20"/>
              </w:rPr>
              <w:t>L</w:t>
            </w:r>
            <w:r w:rsidRPr="00E363BC">
              <w:rPr>
                <w:rFonts w:eastAsia="Times New Roman" w:cstheme="minorHAnsi"/>
                <w:sz w:val="20"/>
                <w:szCs w:val="20"/>
              </w:rPr>
              <w:t xml:space="preserve">iste, koju ispunjava podnositelj </w:t>
            </w:r>
            <w:r>
              <w:rPr>
                <w:rFonts w:eastAsia="Times New Roman" w:cstheme="minorHAnsi"/>
                <w:sz w:val="20"/>
                <w:szCs w:val="20"/>
              </w:rPr>
              <w:t>prijave</w:t>
            </w:r>
          </w:p>
        </w:tc>
      </w:tr>
      <w:tr w:rsidR="005A7420" w:rsidRPr="00AA0B9E" w14:paraId="444F4253" w14:textId="77777777" w:rsidTr="00E440B5">
        <w:trPr>
          <w:trHeight w:val="238"/>
        </w:trPr>
        <w:tc>
          <w:tcPr>
            <w:tcW w:w="533" w:type="dxa"/>
            <w:tcBorders>
              <w:top w:val="nil"/>
              <w:left w:val="single" w:sz="8" w:space="0" w:color="auto"/>
              <w:bottom w:val="single" w:sz="8" w:space="0" w:color="auto"/>
              <w:right w:val="single" w:sz="8" w:space="0" w:color="auto"/>
            </w:tcBorders>
            <w:shd w:val="clear" w:color="auto" w:fill="FFFFFF"/>
          </w:tcPr>
          <w:p w14:paraId="37E92F4C" w14:textId="77777777" w:rsidR="005A7420" w:rsidRPr="00AA0B9E" w:rsidRDefault="005A7420" w:rsidP="00E440B5">
            <w:pPr>
              <w:spacing w:after="0" w:line="240" w:lineRule="auto"/>
              <w:jc w:val="both"/>
              <w:rPr>
                <w:rFonts w:eastAsia="Times New Roman" w:cstheme="minorHAnsi"/>
                <w:sz w:val="20"/>
                <w:szCs w:val="20"/>
              </w:rPr>
            </w:pPr>
            <w:r w:rsidRPr="00AA0B9E">
              <w:rPr>
                <w:rFonts w:eastAsia="Times New Roman" w:cstheme="minorHAnsi"/>
                <w:sz w:val="20"/>
                <w:szCs w:val="20"/>
              </w:rPr>
              <w:t>C</w:t>
            </w:r>
          </w:p>
        </w:tc>
        <w:tc>
          <w:tcPr>
            <w:tcW w:w="393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07C8364D" w14:textId="77777777" w:rsidR="005A7420" w:rsidRPr="00AA0B9E" w:rsidRDefault="005A7420" w:rsidP="00E440B5">
            <w:pPr>
              <w:spacing w:after="0" w:line="240" w:lineRule="auto"/>
              <w:jc w:val="both"/>
              <w:rPr>
                <w:rFonts w:eastAsia="Times New Roman" w:cstheme="minorHAnsi"/>
                <w:sz w:val="20"/>
                <w:szCs w:val="20"/>
              </w:rPr>
            </w:pPr>
            <w:r w:rsidRPr="001172F1">
              <w:rPr>
                <w:rFonts w:eastAsia="Times New Roman" w:cstheme="minorHAnsi"/>
                <w:sz w:val="20"/>
                <w:szCs w:val="20"/>
              </w:rPr>
              <w:t xml:space="preserve">Javno objavljivanje </w:t>
            </w:r>
            <w:r w:rsidRPr="001172F1">
              <w:rPr>
                <w:rFonts w:cstheme="minorHAnsi"/>
                <w:sz w:val="20"/>
                <w:szCs w:val="20"/>
              </w:rPr>
              <w:t>P</w:t>
            </w:r>
            <w:r>
              <w:rPr>
                <w:rFonts w:cstheme="minorHAnsi"/>
                <w:sz w:val="20"/>
                <w:szCs w:val="20"/>
              </w:rPr>
              <w:t>U</w:t>
            </w:r>
            <w:r w:rsidRPr="001172F1">
              <w:rPr>
                <w:rFonts w:cstheme="minorHAnsi"/>
                <w:sz w:val="20"/>
                <w:szCs w:val="20"/>
              </w:rPr>
              <w:t>Ž</w:t>
            </w:r>
            <w:r>
              <w:rPr>
                <w:rFonts w:cstheme="minorHAnsi"/>
                <w:sz w:val="20"/>
                <w:szCs w:val="20"/>
              </w:rPr>
              <w:t>DS</w:t>
            </w:r>
            <w:r w:rsidRPr="001172F1">
              <w:rPr>
                <w:rFonts w:eastAsia="Times New Roman" w:cstheme="minorHAnsi"/>
                <w:sz w:val="20"/>
                <w:szCs w:val="20"/>
              </w:rPr>
              <w:t xml:space="preserve">-a ili </w:t>
            </w:r>
            <w:r w:rsidRPr="001172F1">
              <w:rPr>
                <w:rFonts w:cstheme="minorHAnsi"/>
                <w:sz w:val="20"/>
                <w:szCs w:val="20"/>
              </w:rPr>
              <w:t>P</w:t>
            </w:r>
            <w:r>
              <w:rPr>
                <w:rFonts w:cstheme="minorHAnsi"/>
                <w:sz w:val="20"/>
                <w:szCs w:val="20"/>
              </w:rPr>
              <w:t>U</w:t>
            </w:r>
            <w:r w:rsidRPr="001172F1">
              <w:rPr>
                <w:rFonts w:cstheme="minorHAnsi"/>
                <w:sz w:val="20"/>
                <w:szCs w:val="20"/>
              </w:rPr>
              <w:t>Ž</w:t>
            </w:r>
            <w:r>
              <w:rPr>
                <w:rFonts w:cstheme="minorHAnsi"/>
                <w:sz w:val="20"/>
                <w:szCs w:val="20"/>
              </w:rPr>
              <w:t>DS</w:t>
            </w:r>
            <w:r w:rsidRPr="001172F1">
              <w:rPr>
                <w:rFonts w:cstheme="minorHAnsi"/>
                <w:sz w:val="20"/>
                <w:szCs w:val="20"/>
              </w:rPr>
              <w:t xml:space="preserve"> </w:t>
            </w:r>
            <w:r>
              <w:rPr>
                <w:rFonts w:eastAsia="Times New Roman" w:cstheme="minorHAnsi"/>
                <w:sz w:val="20"/>
                <w:szCs w:val="20"/>
              </w:rPr>
              <w:t>K</w:t>
            </w:r>
            <w:r w:rsidRPr="001172F1">
              <w:rPr>
                <w:rFonts w:eastAsia="Times New Roman" w:cstheme="minorHAnsi"/>
                <w:sz w:val="20"/>
                <w:szCs w:val="20"/>
              </w:rPr>
              <w:t xml:space="preserve">ontrolne </w:t>
            </w:r>
            <w:r>
              <w:rPr>
                <w:rFonts w:eastAsia="Times New Roman" w:cstheme="minorHAnsi"/>
                <w:sz w:val="20"/>
                <w:szCs w:val="20"/>
              </w:rPr>
              <w:t>L</w:t>
            </w:r>
            <w:r w:rsidRPr="001172F1">
              <w:rPr>
                <w:rFonts w:eastAsia="Times New Roman" w:cstheme="minorHAnsi"/>
                <w:sz w:val="20"/>
                <w:szCs w:val="20"/>
              </w:rPr>
              <w:t>iste</w:t>
            </w:r>
          </w:p>
        </w:tc>
        <w:tc>
          <w:tcPr>
            <w:tcW w:w="577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26D7EA96" w14:textId="77777777" w:rsidR="005A7420" w:rsidRPr="00AA0B9E" w:rsidRDefault="005A7420" w:rsidP="00E440B5">
            <w:pPr>
              <w:spacing w:after="0" w:line="240" w:lineRule="auto"/>
              <w:jc w:val="both"/>
              <w:rPr>
                <w:rFonts w:eastAsia="Times New Roman" w:cstheme="minorHAnsi"/>
                <w:sz w:val="20"/>
                <w:szCs w:val="20"/>
              </w:rPr>
            </w:pPr>
            <w:r w:rsidRPr="001172F1">
              <w:rPr>
                <w:rFonts w:eastAsia="Times New Roman" w:cstheme="minorHAnsi"/>
                <w:sz w:val="20"/>
                <w:szCs w:val="20"/>
              </w:rPr>
              <w:t>14 kalendarskih dana od dana prijema odobrenja</w:t>
            </w:r>
          </w:p>
        </w:tc>
      </w:tr>
      <w:tr w:rsidR="005A7420" w:rsidRPr="00CD70C3" w14:paraId="54355D92" w14:textId="77777777" w:rsidTr="00E440B5">
        <w:trPr>
          <w:trHeight w:val="488"/>
        </w:trPr>
        <w:tc>
          <w:tcPr>
            <w:tcW w:w="533" w:type="dxa"/>
            <w:tcBorders>
              <w:top w:val="nil"/>
              <w:left w:val="single" w:sz="8" w:space="0" w:color="auto"/>
              <w:bottom w:val="single" w:sz="8" w:space="0" w:color="auto"/>
              <w:right w:val="single" w:sz="8" w:space="0" w:color="auto"/>
            </w:tcBorders>
            <w:shd w:val="clear" w:color="auto" w:fill="FFFFFF"/>
          </w:tcPr>
          <w:p w14:paraId="2FB04F15" w14:textId="77777777" w:rsidR="005A7420" w:rsidRPr="00AA0B9E" w:rsidRDefault="005A7420" w:rsidP="00E440B5">
            <w:pPr>
              <w:spacing w:after="0" w:line="240" w:lineRule="auto"/>
              <w:jc w:val="both"/>
              <w:rPr>
                <w:rFonts w:eastAsia="Times New Roman" w:cstheme="minorHAnsi"/>
                <w:sz w:val="20"/>
                <w:szCs w:val="20"/>
              </w:rPr>
            </w:pPr>
            <w:r w:rsidRPr="00AA0B9E">
              <w:rPr>
                <w:rFonts w:eastAsia="Times New Roman" w:cstheme="minorHAnsi"/>
                <w:sz w:val="20"/>
                <w:szCs w:val="20"/>
              </w:rPr>
              <w:t>D</w:t>
            </w:r>
          </w:p>
        </w:tc>
        <w:tc>
          <w:tcPr>
            <w:tcW w:w="393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19D6A5CF" w14:textId="77777777" w:rsidR="005A7420" w:rsidRPr="00AA0B9E" w:rsidRDefault="005A7420" w:rsidP="00E440B5">
            <w:pPr>
              <w:spacing w:after="0" w:line="240" w:lineRule="auto"/>
              <w:jc w:val="both"/>
              <w:rPr>
                <w:rFonts w:eastAsia="Times New Roman" w:cstheme="minorHAnsi"/>
                <w:sz w:val="20"/>
                <w:szCs w:val="20"/>
              </w:rPr>
            </w:pPr>
            <w:r>
              <w:rPr>
                <w:rFonts w:eastAsia="Times New Roman" w:cstheme="minorHAnsi"/>
                <w:sz w:val="20"/>
                <w:szCs w:val="20"/>
              </w:rPr>
              <w:t>Pregled</w:t>
            </w:r>
            <w:r w:rsidRPr="001172F1">
              <w:rPr>
                <w:rFonts w:eastAsia="Times New Roman" w:cstheme="minorHAnsi"/>
                <w:sz w:val="20"/>
                <w:szCs w:val="20"/>
              </w:rPr>
              <w:t xml:space="preserve"> i </w:t>
            </w:r>
            <w:r>
              <w:rPr>
                <w:rFonts w:eastAsia="Times New Roman" w:cstheme="minorHAnsi"/>
                <w:sz w:val="20"/>
                <w:szCs w:val="20"/>
              </w:rPr>
              <w:t>ponovo j</w:t>
            </w:r>
            <w:r w:rsidRPr="001172F1">
              <w:rPr>
                <w:rFonts w:eastAsia="Times New Roman" w:cstheme="minorHAnsi"/>
                <w:sz w:val="20"/>
                <w:szCs w:val="20"/>
              </w:rPr>
              <w:t xml:space="preserve">avno objavljivanje </w:t>
            </w:r>
            <w:r w:rsidRPr="001172F1">
              <w:rPr>
                <w:rFonts w:cstheme="minorHAnsi"/>
                <w:sz w:val="20"/>
                <w:szCs w:val="20"/>
              </w:rPr>
              <w:t>P</w:t>
            </w:r>
            <w:r>
              <w:rPr>
                <w:rFonts w:cstheme="minorHAnsi"/>
                <w:sz w:val="20"/>
                <w:szCs w:val="20"/>
              </w:rPr>
              <w:t>U</w:t>
            </w:r>
            <w:r w:rsidRPr="001172F1">
              <w:rPr>
                <w:rFonts w:cstheme="minorHAnsi"/>
                <w:sz w:val="20"/>
                <w:szCs w:val="20"/>
              </w:rPr>
              <w:t>Ž</w:t>
            </w:r>
            <w:r>
              <w:rPr>
                <w:rFonts w:cstheme="minorHAnsi"/>
                <w:sz w:val="20"/>
                <w:szCs w:val="20"/>
              </w:rPr>
              <w:t>DS</w:t>
            </w:r>
            <w:r w:rsidRPr="001172F1">
              <w:rPr>
                <w:rFonts w:eastAsia="Times New Roman" w:cstheme="minorHAnsi"/>
                <w:sz w:val="20"/>
                <w:szCs w:val="20"/>
              </w:rPr>
              <w:t xml:space="preserve">-a ili </w:t>
            </w:r>
            <w:r w:rsidRPr="001172F1">
              <w:rPr>
                <w:rFonts w:cstheme="minorHAnsi"/>
                <w:sz w:val="20"/>
                <w:szCs w:val="20"/>
              </w:rPr>
              <w:t>P</w:t>
            </w:r>
            <w:r>
              <w:rPr>
                <w:rFonts w:cstheme="minorHAnsi"/>
                <w:sz w:val="20"/>
                <w:szCs w:val="20"/>
              </w:rPr>
              <w:t>U</w:t>
            </w:r>
            <w:r w:rsidRPr="001172F1">
              <w:rPr>
                <w:rFonts w:cstheme="minorHAnsi"/>
                <w:sz w:val="20"/>
                <w:szCs w:val="20"/>
              </w:rPr>
              <w:t>Ž</w:t>
            </w:r>
            <w:r>
              <w:rPr>
                <w:rFonts w:cstheme="minorHAnsi"/>
                <w:sz w:val="20"/>
                <w:szCs w:val="20"/>
              </w:rPr>
              <w:t>DS</w:t>
            </w:r>
            <w:r w:rsidRPr="001172F1">
              <w:rPr>
                <w:rFonts w:cstheme="minorHAnsi"/>
                <w:sz w:val="20"/>
                <w:szCs w:val="20"/>
              </w:rPr>
              <w:t xml:space="preserve"> </w:t>
            </w:r>
            <w:r>
              <w:rPr>
                <w:rFonts w:eastAsia="Times New Roman" w:cstheme="minorHAnsi"/>
                <w:sz w:val="20"/>
                <w:szCs w:val="20"/>
              </w:rPr>
              <w:t>K</w:t>
            </w:r>
            <w:r w:rsidRPr="001172F1">
              <w:rPr>
                <w:rFonts w:eastAsia="Times New Roman" w:cstheme="minorHAnsi"/>
                <w:sz w:val="20"/>
                <w:szCs w:val="20"/>
              </w:rPr>
              <w:t xml:space="preserve">ontrolne </w:t>
            </w:r>
            <w:r>
              <w:rPr>
                <w:rFonts w:eastAsia="Times New Roman" w:cstheme="minorHAnsi"/>
                <w:sz w:val="20"/>
                <w:szCs w:val="20"/>
              </w:rPr>
              <w:t>L</w:t>
            </w:r>
            <w:r w:rsidRPr="001172F1">
              <w:rPr>
                <w:rFonts w:eastAsia="Times New Roman" w:cstheme="minorHAnsi"/>
                <w:sz w:val="20"/>
                <w:szCs w:val="20"/>
              </w:rPr>
              <w:t>iste, na osnovu podataka o konsultacijama</w:t>
            </w:r>
          </w:p>
        </w:tc>
        <w:tc>
          <w:tcPr>
            <w:tcW w:w="577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5AA3AD1F" w14:textId="77777777" w:rsidR="005A7420" w:rsidRPr="00AA0B9E" w:rsidRDefault="005A7420" w:rsidP="00E440B5">
            <w:pPr>
              <w:spacing w:after="0" w:line="240" w:lineRule="auto"/>
              <w:jc w:val="both"/>
              <w:rPr>
                <w:rFonts w:eastAsia="Times New Roman" w:cstheme="minorHAnsi"/>
                <w:sz w:val="20"/>
                <w:szCs w:val="20"/>
              </w:rPr>
            </w:pPr>
            <w:r w:rsidRPr="001172F1">
              <w:rPr>
                <w:rFonts w:eastAsia="Times New Roman" w:cstheme="minorHAnsi"/>
                <w:sz w:val="20"/>
                <w:szCs w:val="20"/>
              </w:rPr>
              <w:t>3 kalendarska dana nakon javne rasprave</w:t>
            </w:r>
          </w:p>
        </w:tc>
      </w:tr>
    </w:tbl>
    <w:p w14:paraId="1E5385AE" w14:textId="77777777" w:rsidR="005A7420" w:rsidRPr="00586DCF" w:rsidRDefault="005A7420" w:rsidP="005A7420">
      <w:pPr>
        <w:jc w:val="both"/>
        <w:rPr>
          <w:rFonts w:cs="Calibri"/>
          <w:b/>
          <w:sz w:val="20"/>
          <w:szCs w:val="20"/>
        </w:rPr>
      </w:pPr>
    </w:p>
    <w:p w14:paraId="053C1D4F" w14:textId="77777777" w:rsidR="005A7420" w:rsidRPr="00586DCF" w:rsidRDefault="005A7420" w:rsidP="001C59B7">
      <w:pPr>
        <w:pStyle w:val="Heading2"/>
      </w:pPr>
      <w:bookmarkStart w:id="27" w:name="_Toc101439457"/>
      <w:r w:rsidRPr="00A340CB">
        <w:lastRenderedPageBreak/>
        <w:t>POTPISIVANJE UGOVORA O PODGRANITU</w:t>
      </w:r>
      <w:bookmarkEnd w:id="27"/>
    </w:p>
    <w:p w14:paraId="6E3D22E8" w14:textId="77777777" w:rsidR="005A7420" w:rsidRPr="00586DCF" w:rsidRDefault="005A7420" w:rsidP="005A7420">
      <w:pPr>
        <w:jc w:val="both"/>
        <w:rPr>
          <w:rFonts w:cs="Calibri"/>
          <w:sz w:val="20"/>
          <w:szCs w:val="20"/>
        </w:rPr>
      </w:pPr>
      <w:r>
        <w:rPr>
          <w:rFonts w:cs="Calibri"/>
          <w:sz w:val="20"/>
          <w:szCs w:val="20"/>
        </w:rPr>
        <w:t xml:space="preserve"> </w:t>
      </w:r>
      <w:r w:rsidRPr="00A340CB">
        <w:rPr>
          <w:rFonts w:cs="Calibri"/>
          <w:sz w:val="20"/>
          <w:szCs w:val="20"/>
        </w:rPr>
        <w:t>Tripartitni sporazum između korisnika granta</w:t>
      </w:r>
      <w:r w:rsidRPr="00A340CB">
        <w:rPr>
          <w:rStyle w:val="FootnoteReference"/>
          <w:rFonts w:cs="Calibri"/>
          <w:sz w:val="20"/>
          <w:szCs w:val="20"/>
          <w:vertAlign w:val="baseline"/>
        </w:rPr>
        <w:t xml:space="preserve"> </w:t>
      </w:r>
      <w:r w:rsidRPr="00586DCF">
        <w:rPr>
          <w:rStyle w:val="FootnoteReference"/>
          <w:rFonts w:cs="Calibri"/>
          <w:sz w:val="20"/>
          <w:szCs w:val="20"/>
        </w:rPr>
        <w:footnoteReference w:id="3"/>
      </w:r>
      <w:r w:rsidRPr="00586DCF">
        <w:rPr>
          <w:rFonts w:cs="Calibri"/>
          <w:sz w:val="20"/>
          <w:szCs w:val="20"/>
        </w:rPr>
        <w:t xml:space="preserve">, </w:t>
      </w:r>
      <w:r w:rsidRPr="00A340CB">
        <w:rPr>
          <w:rFonts w:cs="Calibri"/>
          <w:sz w:val="20"/>
          <w:szCs w:val="20"/>
        </w:rPr>
        <w:t>MALS-a i opštine se potpisuje nakon objavljivanja rezultata</w:t>
      </w:r>
      <w:r w:rsidRPr="00586DCF">
        <w:rPr>
          <w:rFonts w:cs="Calibri"/>
          <w:sz w:val="20"/>
          <w:szCs w:val="20"/>
        </w:rPr>
        <w:t xml:space="preserve">. </w:t>
      </w:r>
    </w:p>
    <w:p w14:paraId="3A711BDD" w14:textId="77777777" w:rsidR="005A7420" w:rsidRPr="00586DCF" w:rsidRDefault="005A7420" w:rsidP="001C59B7">
      <w:pPr>
        <w:pStyle w:val="Heading2"/>
      </w:pPr>
      <w:bookmarkStart w:id="28" w:name="_Toc101439458"/>
      <w:r>
        <w:t>MEHANIZAM PODNOŠENJA ŽALBI</w:t>
      </w:r>
      <w:bookmarkEnd w:id="28"/>
    </w:p>
    <w:p w14:paraId="2046B13F" w14:textId="77777777" w:rsidR="005A7420" w:rsidRPr="00586DCF" w:rsidRDefault="005A7420" w:rsidP="005A7420">
      <w:pPr>
        <w:jc w:val="both"/>
        <w:rPr>
          <w:rFonts w:cs="Times New Roman"/>
          <w:sz w:val="20"/>
          <w:szCs w:val="20"/>
        </w:rPr>
      </w:pPr>
      <w:r w:rsidRPr="00A340CB">
        <w:rPr>
          <w:rFonts w:cs="Times New Roman"/>
          <w:sz w:val="20"/>
          <w:szCs w:val="20"/>
        </w:rPr>
        <w:t>Mehanizam za Rešavanje žalbi projekta M4Y (GRM) pruža mehanizam za rešavanje svih zabrinutosti u vezi sA procesom odabira korisnika i podgranta, kao i društvenim i ekološkim uticajima potprojekata na sledeću e-mail adresu</w:t>
      </w:r>
      <w:r w:rsidRPr="00586DCF">
        <w:rPr>
          <w:rFonts w:cs="Times New Roman"/>
          <w:sz w:val="20"/>
          <w:szCs w:val="20"/>
        </w:rPr>
        <w:t xml:space="preserve">: </w:t>
      </w:r>
      <w:hyperlink r:id="rId11" w:tgtFrame="_blank" w:history="1">
        <w:r w:rsidRPr="00586DCF">
          <w:rPr>
            <w:rStyle w:val="Hyperlink"/>
            <w:color w:val="1155CC"/>
            <w:sz w:val="20"/>
            <w:szCs w:val="20"/>
            <w:shd w:val="clear" w:color="auto" w:fill="FFFFFF"/>
          </w:rPr>
          <w:t>M4Y.PROJECT@rks-gov.net</w:t>
        </w:r>
      </w:hyperlink>
      <w:r w:rsidRPr="00586DCF">
        <w:rPr>
          <w:sz w:val="20"/>
          <w:szCs w:val="20"/>
        </w:rPr>
        <w:t>.</w:t>
      </w:r>
      <w:r w:rsidRPr="00586DCF">
        <w:rPr>
          <w:rFonts w:cs="Times New Roman"/>
          <w:sz w:val="20"/>
          <w:szCs w:val="20"/>
        </w:rPr>
        <w:t xml:space="preserve"> </w:t>
      </w:r>
      <w:r w:rsidRPr="00A340CB">
        <w:rPr>
          <w:rFonts w:cs="Times New Roman"/>
          <w:sz w:val="20"/>
          <w:szCs w:val="20"/>
        </w:rPr>
        <w:t>Prigovori u vezi sa ishodom odabira korisnika i podgrantova biće prihvaćeni u roku od 7 radnih dana nakon objave rezultata</w:t>
      </w:r>
      <w:r w:rsidRPr="00586DCF">
        <w:rPr>
          <w:rFonts w:cs="Times New Roman"/>
          <w:sz w:val="20"/>
          <w:szCs w:val="20"/>
        </w:rPr>
        <w:t xml:space="preserve">. </w:t>
      </w:r>
    </w:p>
    <w:p w14:paraId="530A8E0F" w14:textId="77777777" w:rsidR="005A7420" w:rsidRPr="00586DCF" w:rsidRDefault="005A7420" w:rsidP="001C59B7">
      <w:pPr>
        <w:pStyle w:val="Heading2"/>
      </w:pPr>
      <w:bookmarkStart w:id="29" w:name="_Toc101439459"/>
      <w:r w:rsidRPr="00A340CB">
        <w:t>PODNOŠENJE PRIJAVA</w:t>
      </w:r>
      <w:bookmarkEnd w:id="29"/>
    </w:p>
    <w:p w14:paraId="56F8BCED" w14:textId="77777777" w:rsidR="005A7420" w:rsidRPr="00586DCF" w:rsidRDefault="005A7420" w:rsidP="005A7420">
      <w:pPr>
        <w:rPr>
          <w:rFonts w:cstheme="minorHAnsi"/>
          <w:sz w:val="20"/>
          <w:szCs w:val="20"/>
        </w:rPr>
      </w:pPr>
      <w:r w:rsidRPr="00A340CB">
        <w:rPr>
          <w:rFonts w:cstheme="minorHAnsi"/>
          <w:sz w:val="20"/>
          <w:szCs w:val="20"/>
        </w:rPr>
        <w:t>Podnosioci prijave</w:t>
      </w:r>
      <w:r w:rsidRPr="00586DCF">
        <w:rPr>
          <w:rStyle w:val="FootnoteReference"/>
          <w:rFonts w:cstheme="minorHAnsi"/>
          <w:sz w:val="20"/>
          <w:szCs w:val="20"/>
        </w:rPr>
        <w:footnoteReference w:id="4"/>
      </w:r>
      <w:r w:rsidRPr="00586DCF">
        <w:rPr>
          <w:rFonts w:cstheme="minorHAnsi"/>
          <w:sz w:val="20"/>
          <w:szCs w:val="20"/>
        </w:rPr>
        <w:t xml:space="preserve"> </w:t>
      </w:r>
      <w:r w:rsidRPr="00A340CB">
        <w:rPr>
          <w:rFonts w:cstheme="minorHAnsi"/>
          <w:sz w:val="20"/>
          <w:szCs w:val="20"/>
        </w:rPr>
        <w:t>će pripremiti podneske u štampanom obliku. Svi predlozi moraju biti dostavljeni korištenjem standardnih obrazaca za prijavu za tinejdžere i mlade odrasle/CBO-ove uz odgovarajuću dokumentaciju kako je opisano u nastavku</w:t>
      </w:r>
      <w:r w:rsidRPr="00586DCF">
        <w:rPr>
          <w:rFonts w:cstheme="minorHAnsi"/>
          <w:sz w:val="20"/>
          <w:szCs w:val="20"/>
        </w:rPr>
        <w:t>.</w:t>
      </w:r>
    </w:p>
    <w:p w14:paraId="1F74A405" w14:textId="77777777" w:rsidR="005A7420" w:rsidRPr="00586DCF" w:rsidRDefault="005A7420" w:rsidP="005A7420">
      <w:pPr>
        <w:autoSpaceDE w:val="0"/>
        <w:autoSpaceDN w:val="0"/>
        <w:adjustRightInd w:val="0"/>
        <w:jc w:val="both"/>
        <w:rPr>
          <w:rFonts w:cstheme="minorHAnsi"/>
          <w:b/>
          <w:i/>
          <w:iCs/>
          <w:sz w:val="20"/>
          <w:szCs w:val="20"/>
        </w:rPr>
      </w:pPr>
      <w:r w:rsidRPr="00A340CB">
        <w:rPr>
          <w:rFonts w:cstheme="minorHAnsi"/>
          <w:b/>
          <w:bCs/>
          <w:i/>
          <w:iCs/>
          <w:sz w:val="20"/>
          <w:szCs w:val="20"/>
        </w:rPr>
        <w:t>Paket prijava za neformalne grupe mladih i formalne CBO-ove</w:t>
      </w:r>
    </w:p>
    <w:p w14:paraId="58C51813" w14:textId="77777777" w:rsidR="005A7420" w:rsidRPr="00A340CB" w:rsidRDefault="005A7420" w:rsidP="005A7420">
      <w:pPr>
        <w:pStyle w:val="ListParagraph"/>
        <w:widowControl w:val="0"/>
        <w:numPr>
          <w:ilvl w:val="0"/>
          <w:numId w:val="18"/>
        </w:numPr>
        <w:autoSpaceDE w:val="0"/>
        <w:autoSpaceDN w:val="0"/>
        <w:adjustRightInd w:val="0"/>
        <w:spacing w:line="240" w:lineRule="auto"/>
        <w:rPr>
          <w:rFonts w:asciiTheme="minorHAnsi" w:hAnsiTheme="minorHAnsi" w:cstheme="minorHAnsi"/>
          <w:sz w:val="20"/>
          <w:szCs w:val="20"/>
        </w:rPr>
      </w:pPr>
      <w:r w:rsidRPr="00A340CB">
        <w:rPr>
          <w:rFonts w:asciiTheme="minorHAnsi" w:hAnsiTheme="minorHAnsi" w:cstheme="minorHAnsi"/>
          <w:sz w:val="20"/>
          <w:szCs w:val="20"/>
        </w:rPr>
        <w:t>Prijavni formular (CBO moraju poslati potpisanu i overenu prijavu, dok neformalne grupe mladih moraju poslati prijavu koju potpisuje omladinski lider)</w:t>
      </w:r>
    </w:p>
    <w:p w14:paraId="1C397CF4" w14:textId="77777777" w:rsidR="005A7420" w:rsidRPr="00A340CB" w:rsidRDefault="005A7420" w:rsidP="005A7420">
      <w:pPr>
        <w:pStyle w:val="ListParagraph"/>
        <w:widowControl w:val="0"/>
        <w:numPr>
          <w:ilvl w:val="0"/>
          <w:numId w:val="18"/>
        </w:numPr>
        <w:autoSpaceDE w:val="0"/>
        <w:autoSpaceDN w:val="0"/>
        <w:adjustRightInd w:val="0"/>
        <w:spacing w:line="240" w:lineRule="auto"/>
        <w:rPr>
          <w:rFonts w:asciiTheme="minorHAnsi" w:hAnsiTheme="minorHAnsi" w:cstheme="minorHAnsi"/>
          <w:sz w:val="20"/>
          <w:szCs w:val="20"/>
        </w:rPr>
      </w:pPr>
      <w:r w:rsidRPr="00A340CB">
        <w:rPr>
          <w:rFonts w:asciiTheme="minorHAnsi" w:hAnsiTheme="minorHAnsi" w:cstheme="minorHAnsi"/>
          <w:sz w:val="20"/>
          <w:szCs w:val="20"/>
        </w:rPr>
        <w:t xml:space="preserve">Obrazac budžeta </w:t>
      </w:r>
      <w:r w:rsidRPr="00A340CB">
        <w:rPr>
          <w:rFonts w:asciiTheme="minorHAnsi" w:hAnsiTheme="minorHAnsi" w:cstheme="minorHAnsi"/>
          <w:i/>
          <w:sz w:val="20"/>
          <w:szCs w:val="20"/>
        </w:rPr>
        <w:t>(i CBO i neformalne grupe mladih)</w:t>
      </w:r>
    </w:p>
    <w:p w14:paraId="647B4D44" w14:textId="77777777" w:rsidR="005A7420" w:rsidRPr="00A340CB" w:rsidRDefault="005A7420" w:rsidP="005A7420">
      <w:pPr>
        <w:pStyle w:val="ListParagraph"/>
        <w:widowControl w:val="0"/>
        <w:numPr>
          <w:ilvl w:val="0"/>
          <w:numId w:val="18"/>
        </w:numPr>
        <w:autoSpaceDE w:val="0"/>
        <w:autoSpaceDN w:val="0"/>
        <w:adjustRightInd w:val="0"/>
        <w:spacing w:line="240" w:lineRule="auto"/>
        <w:rPr>
          <w:rFonts w:asciiTheme="minorHAnsi" w:hAnsiTheme="minorHAnsi" w:cstheme="minorHAnsi"/>
          <w:sz w:val="20"/>
          <w:szCs w:val="20"/>
        </w:rPr>
      </w:pPr>
      <w:r w:rsidRPr="00A340CB">
        <w:rPr>
          <w:rFonts w:asciiTheme="minorHAnsi" w:hAnsiTheme="minorHAnsi" w:cstheme="minorHAnsi"/>
          <w:sz w:val="20"/>
          <w:szCs w:val="20"/>
        </w:rPr>
        <w:t xml:space="preserve">Kopija lične karte* podnosioca zahteva sa dokazom o prebivalištu </w:t>
      </w:r>
      <w:r w:rsidRPr="00A340CB">
        <w:rPr>
          <w:rFonts w:asciiTheme="minorHAnsi" w:hAnsiTheme="minorHAnsi" w:cstheme="minorHAnsi"/>
          <w:i/>
          <w:sz w:val="20"/>
          <w:szCs w:val="20"/>
        </w:rPr>
        <w:t>(i CBO-ovi i neformalne grupe mladih)</w:t>
      </w:r>
    </w:p>
    <w:p w14:paraId="6950257C" w14:textId="77777777" w:rsidR="005A7420" w:rsidRPr="00A340CB" w:rsidRDefault="005A7420" w:rsidP="005A7420">
      <w:pPr>
        <w:pStyle w:val="ListParagraph"/>
        <w:widowControl w:val="0"/>
        <w:numPr>
          <w:ilvl w:val="0"/>
          <w:numId w:val="18"/>
        </w:numPr>
        <w:autoSpaceDE w:val="0"/>
        <w:autoSpaceDN w:val="0"/>
        <w:adjustRightInd w:val="0"/>
        <w:spacing w:line="240" w:lineRule="auto"/>
        <w:rPr>
          <w:rFonts w:asciiTheme="minorHAnsi" w:hAnsiTheme="minorHAnsi" w:cstheme="minorHAnsi"/>
          <w:sz w:val="20"/>
          <w:szCs w:val="20"/>
        </w:rPr>
      </w:pPr>
      <w:r w:rsidRPr="00A340CB">
        <w:rPr>
          <w:rFonts w:asciiTheme="minorHAnsi" w:hAnsiTheme="minorHAnsi" w:cstheme="minorHAnsi"/>
          <w:sz w:val="20"/>
          <w:szCs w:val="20"/>
        </w:rPr>
        <w:t xml:space="preserve">Zapisnici sa konsultacija podprojekta </w:t>
      </w:r>
      <w:r w:rsidRPr="00A340CB">
        <w:rPr>
          <w:rFonts w:asciiTheme="minorHAnsi" w:hAnsiTheme="minorHAnsi" w:cstheme="minorHAnsi"/>
          <w:i/>
          <w:sz w:val="20"/>
          <w:szCs w:val="20"/>
        </w:rPr>
        <w:t>(i CBO-ovi i neformalne grupe mladih)</w:t>
      </w:r>
    </w:p>
    <w:p w14:paraId="42BAE295" w14:textId="77777777" w:rsidR="005A7420" w:rsidRPr="00586DCF" w:rsidRDefault="005A7420" w:rsidP="005A7420">
      <w:pPr>
        <w:pStyle w:val="ListParagraph"/>
        <w:widowControl w:val="0"/>
        <w:numPr>
          <w:ilvl w:val="0"/>
          <w:numId w:val="18"/>
        </w:numPr>
        <w:autoSpaceDE w:val="0"/>
        <w:autoSpaceDN w:val="0"/>
        <w:adjustRightInd w:val="0"/>
        <w:spacing w:line="240" w:lineRule="auto"/>
        <w:jc w:val="left"/>
        <w:rPr>
          <w:rFonts w:asciiTheme="minorHAnsi" w:hAnsiTheme="minorHAnsi" w:cstheme="minorHAnsi"/>
          <w:sz w:val="20"/>
          <w:szCs w:val="20"/>
        </w:rPr>
      </w:pPr>
      <w:r w:rsidRPr="00A340CB">
        <w:rPr>
          <w:rFonts w:asciiTheme="minorHAnsi" w:hAnsiTheme="minorHAnsi" w:cstheme="minorHAnsi"/>
          <w:sz w:val="20"/>
          <w:szCs w:val="20"/>
        </w:rPr>
        <w:t xml:space="preserve">Dokaz o podršci od strane organizacije iz zajednice </w:t>
      </w:r>
      <w:r w:rsidRPr="00A340CB">
        <w:rPr>
          <w:rFonts w:asciiTheme="minorHAnsi" w:hAnsiTheme="minorHAnsi" w:cstheme="minorHAnsi"/>
          <w:i/>
          <w:sz w:val="20"/>
          <w:szCs w:val="20"/>
        </w:rPr>
        <w:t>(i CBO-ovi i neformalne grupe mladih</w:t>
      </w:r>
      <w:r w:rsidRPr="00586DCF">
        <w:rPr>
          <w:rFonts w:asciiTheme="minorHAnsi" w:hAnsiTheme="minorHAnsi" w:cstheme="minorHAnsi"/>
          <w:i/>
          <w:sz w:val="20"/>
          <w:szCs w:val="20"/>
        </w:rPr>
        <w:t>)</w:t>
      </w:r>
      <w:r w:rsidRPr="00586DCF">
        <w:rPr>
          <w:rStyle w:val="FootnoteReference"/>
          <w:rFonts w:asciiTheme="minorHAnsi" w:hAnsiTheme="minorHAnsi" w:cstheme="minorHAnsi"/>
          <w:i/>
          <w:sz w:val="20"/>
          <w:szCs w:val="20"/>
        </w:rPr>
        <w:footnoteReference w:id="5"/>
      </w:r>
    </w:p>
    <w:p w14:paraId="1693547C" w14:textId="77777777" w:rsidR="005A7420" w:rsidRPr="00A340CB" w:rsidRDefault="005A7420" w:rsidP="005A7420">
      <w:pPr>
        <w:pStyle w:val="ListParagraph"/>
        <w:widowControl w:val="0"/>
        <w:numPr>
          <w:ilvl w:val="0"/>
          <w:numId w:val="18"/>
        </w:numPr>
        <w:autoSpaceDE w:val="0"/>
        <w:autoSpaceDN w:val="0"/>
        <w:adjustRightInd w:val="0"/>
        <w:spacing w:line="240" w:lineRule="auto"/>
        <w:rPr>
          <w:rFonts w:asciiTheme="minorHAnsi" w:hAnsiTheme="minorHAnsi" w:cstheme="minorHAnsi"/>
          <w:sz w:val="20"/>
          <w:szCs w:val="20"/>
        </w:rPr>
      </w:pPr>
      <w:r w:rsidRPr="00A340CB">
        <w:rPr>
          <w:rFonts w:asciiTheme="minorHAnsi" w:hAnsiTheme="minorHAnsi" w:cstheme="minorHAnsi"/>
          <w:sz w:val="20"/>
          <w:szCs w:val="20"/>
        </w:rPr>
        <w:t>Izjava o dvostrukom finansiranju (i CBO-ovi i neformalne grupe mladih)</w:t>
      </w:r>
    </w:p>
    <w:p w14:paraId="2D1CD12B" w14:textId="77777777" w:rsidR="005A7420" w:rsidRPr="00A340CB" w:rsidRDefault="005A7420" w:rsidP="005A7420">
      <w:pPr>
        <w:pStyle w:val="ListParagraph"/>
        <w:widowControl w:val="0"/>
        <w:numPr>
          <w:ilvl w:val="0"/>
          <w:numId w:val="18"/>
        </w:numPr>
        <w:autoSpaceDE w:val="0"/>
        <w:autoSpaceDN w:val="0"/>
        <w:adjustRightInd w:val="0"/>
        <w:spacing w:line="240" w:lineRule="auto"/>
        <w:rPr>
          <w:rFonts w:asciiTheme="minorHAnsi" w:hAnsiTheme="minorHAnsi" w:cstheme="minorHAnsi"/>
          <w:sz w:val="20"/>
          <w:szCs w:val="20"/>
        </w:rPr>
      </w:pPr>
      <w:r w:rsidRPr="00A340CB">
        <w:rPr>
          <w:rFonts w:asciiTheme="minorHAnsi" w:hAnsiTheme="minorHAnsi" w:cstheme="minorHAnsi"/>
          <w:sz w:val="20"/>
          <w:szCs w:val="20"/>
        </w:rPr>
        <w:t>Tehnička kontrolna lista (predlozi sa građevinskim radovima). Podnosilac građevinskih radova će podneti dva odvojena predloga potprojekata, koji će biti zajednički ocenjeni.</w:t>
      </w:r>
    </w:p>
    <w:p w14:paraId="45913A55" w14:textId="77777777" w:rsidR="005A7420" w:rsidRPr="00A340CB" w:rsidRDefault="005A7420" w:rsidP="005A7420">
      <w:pPr>
        <w:pStyle w:val="ListParagraph"/>
        <w:widowControl w:val="0"/>
        <w:numPr>
          <w:ilvl w:val="0"/>
          <w:numId w:val="18"/>
        </w:numPr>
        <w:autoSpaceDE w:val="0"/>
        <w:autoSpaceDN w:val="0"/>
        <w:adjustRightInd w:val="0"/>
        <w:spacing w:line="240" w:lineRule="auto"/>
        <w:rPr>
          <w:rFonts w:asciiTheme="minorHAnsi" w:hAnsiTheme="minorHAnsi" w:cstheme="minorHAnsi"/>
          <w:sz w:val="20"/>
          <w:szCs w:val="20"/>
        </w:rPr>
      </w:pPr>
      <w:r w:rsidRPr="00A340CB">
        <w:rPr>
          <w:rFonts w:asciiTheme="minorHAnsi" w:hAnsiTheme="minorHAnsi" w:cstheme="minorHAnsi"/>
          <w:sz w:val="20"/>
          <w:szCs w:val="20"/>
        </w:rPr>
        <w:t>Dokaz o iskustvu upravljanja projektima (CBO) ili završenoj obuci za upravljanje projektima (za mlade koji nisu završili obuku preko M4Y). Ove kategorije podnosilaca predloga projekta moraju dostaviti pismo preporuke/referentno pismo ili bilo koji dokument koji dokazuje da poseduju prethodno iskustvo u upravljanju projektima.</w:t>
      </w:r>
    </w:p>
    <w:p w14:paraId="6F77B54E" w14:textId="77777777" w:rsidR="005A7420" w:rsidRPr="001172F1" w:rsidRDefault="005A7420" w:rsidP="005A7420">
      <w:pPr>
        <w:pStyle w:val="ListParagraph"/>
        <w:widowControl w:val="0"/>
        <w:numPr>
          <w:ilvl w:val="0"/>
          <w:numId w:val="18"/>
        </w:numPr>
        <w:autoSpaceDE w:val="0"/>
        <w:autoSpaceDN w:val="0"/>
        <w:adjustRightInd w:val="0"/>
        <w:spacing w:line="240" w:lineRule="auto"/>
        <w:rPr>
          <w:rFonts w:asciiTheme="minorHAnsi" w:hAnsiTheme="minorHAnsi" w:cstheme="minorHAnsi"/>
          <w:sz w:val="20"/>
          <w:szCs w:val="20"/>
        </w:rPr>
      </w:pPr>
      <w:r w:rsidRPr="001172F1">
        <w:rPr>
          <w:rFonts w:asciiTheme="minorHAnsi" w:hAnsiTheme="minorHAnsi" w:cstheme="minorHAnsi"/>
          <w:sz w:val="20"/>
          <w:szCs w:val="20"/>
        </w:rPr>
        <w:t>Upitnik za procenu ekološkog i socijalnog rizika Kopija potvrde o registraciji CBO-a i fiskalnog broja (podnose samo CBO-ovi)</w:t>
      </w:r>
    </w:p>
    <w:p w14:paraId="5E7356CA" w14:textId="77777777" w:rsidR="005A7420" w:rsidRPr="00A340CB" w:rsidRDefault="005A7420" w:rsidP="005A7420">
      <w:pPr>
        <w:pStyle w:val="ListParagraph"/>
        <w:widowControl w:val="0"/>
        <w:numPr>
          <w:ilvl w:val="0"/>
          <w:numId w:val="18"/>
        </w:numPr>
        <w:autoSpaceDE w:val="0"/>
        <w:autoSpaceDN w:val="0"/>
        <w:adjustRightInd w:val="0"/>
        <w:spacing w:line="240" w:lineRule="auto"/>
        <w:rPr>
          <w:rFonts w:asciiTheme="minorHAnsi" w:hAnsiTheme="minorHAnsi" w:cstheme="minorHAnsi"/>
          <w:sz w:val="20"/>
          <w:szCs w:val="20"/>
        </w:rPr>
      </w:pPr>
      <w:r w:rsidRPr="00A340CB">
        <w:rPr>
          <w:rFonts w:asciiTheme="minorHAnsi" w:hAnsiTheme="minorHAnsi" w:cstheme="minorHAnsi"/>
          <w:sz w:val="20"/>
          <w:szCs w:val="20"/>
        </w:rPr>
        <w:t>Spisak aktivnosti sprovedenih u prošlosti sa kontakt podacima klijenata (dostavljaju samo CBO-ovi).</w:t>
      </w:r>
    </w:p>
    <w:p w14:paraId="09D55B21" w14:textId="77777777" w:rsidR="005A7420" w:rsidRPr="00586DCF" w:rsidRDefault="005A7420" w:rsidP="005A7420">
      <w:pPr>
        <w:pStyle w:val="ListParagraph"/>
        <w:widowControl w:val="0"/>
        <w:numPr>
          <w:ilvl w:val="0"/>
          <w:numId w:val="18"/>
        </w:numPr>
        <w:autoSpaceDE w:val="0"/>
        <w:autoSpaceDN w:val="0"/>
        <w:adjustRightInd w:val="0"/>
        <w:spacing w:line="240" w:lineRule="auto"/>
        <w:jc w:val="left"/>
        <w:rPr>
          <w:rFonts w:asciiTheme="minorHAnsi" w:eastAsiaTheme="minorHAnsi" w:hAnsiTheme="minorHAnsi" w:cstheme="minorHAnsi"/>
          <w:bCs/>
          <w:sz w:val="20"/>
          <w:szCs w:val="20"/>
        </w:rPr>
      </w:pPr>
      <w:r w:rsidRPr="00A340CB">
        <w:rPr>
          <w:rFonts w:asciiTheme="minorHAnsi" w:hAnsiTheme="minorHAnsi" w:cstheme="minorHAnsi"/>
          <w:sz w:val="20"/>
          <w:szCs w:val="20"/>
        </w:rPr>
        <w:t>Odabrani CV-ovi članova rukovodstva CBO-a (uzrasta od 18-24 godine) (dostavljaju samo CBO-ovi</w:t>
      </w:r>
      <w:r w:rsidRPr="00586DCF">
        <w:rPr>
          <w:rFonts w:asciiTheme="minorHAnsi" w:eastAsiaTheme="minorHAnsi" w:hAnsiTheme="minorHAnsi" w:cstheme="minorHAnsi"/>
          <w:bCs/>
          <w:sz w:val="20"/>
          <w:szCs w:val="20"/>
        </w:rPr>
        <w:t>)</w:t>
      </w:r>
    </w:p>
    <w:p w14:paraId="5915A900" w14:textId="77777777" w:rsidR="005A7420" w:rsidRPr="00586DCF" w:rsidRDefault="005A7420" w:rsidP="005A7420">
      <w:pPr>
        <w:rPr>
          <w:rFonts w:cstheme="minorHAnsi"/>
          <w:bCs/>
          <w:sz w:val="20"/>
          <w:szCs w:val="20"/>
        </w:rPr>
      </w:pPr>
    </w:p>
    <w:p w14:paraId="2F013EB1" w14:textId="77777777" w:rsidR="005A7420" w:rsidRPr="00586DCF" w:rsidRDefault="005A7420" w:rsidP="005A7420">
      <w:pPr>
        <w:jc w:val="both"/>
        <w:rPr>
          <w:rFonts w:ascii="Calibri" w:eastAsia="Calibri" w:hAnsi="Calibri" w:cs="Calibri"/>
          <w:sz w:val="20"/>
          <w:szCs w:val="20"/>
        </w:rPr>
      </w:pPr>
      <w:r w:rsidRPr="00A340CB">
        <w:rPr>
          <w:rFonts w:ascii="Calibri" w:eastAsia="Calibri" w:hAnsi="Calibri" w:cs="Calibri"/>
          <w:i/>
          <w:iCs/>
          <w:sz w:val="20"/>
          <w:szCs w:val="20"/>
        </w:rPr>
        <w:t>Verifikacija ideje sa ciljanim korisnicima</w:t>
      </w:r>
      <w:r w:rsidRPr="00586DCF">
        <w:rPr>
          <w:rFonts w:ascii="Calibri" w:eastAsia="Calibri" w:hAnsi="Calibri" w:cs="Calibri"/>
          <w:sz w:val="20"/>
          <w:szCs w:val="20"/>
        </w:rPr>
        <w:t xml:space="preserve">: </w:t>
      </w:r>
      <w:r w:rsidRPr="00A340CB">
        <w:rPr>
          <w:rFonts w:ascii="Calibri" w:eastAsia="Calibri" w:hAnsi="Calibri" w:cs="Calibri"/>
          <w:sz w:val="20"/>
          <w:szCs w:val="20"/>
        </w:rPr>
        <w:t>Nakon što grupe mladih razviju ideje za potprojekte, od njih se traži da organizuju fokus grupe sa ciljanim korisnicima kako bi dobili povratnu informaciju o svom predlogu i dali procenu broja korisnika. Fokus grupe korisnika (rodno izbalansirane ILI jednopolne, prema potrebi) su dokumentovane u pisanoj formi i dostavljene sa predlozima podgrantova (zahtevi za dokumentom navedeni su pod kontrolnom listom za prijavu br. 2). Tim će nastojati da pojasni/potvrdi da su investicije i usluge</w:t>
      </w:r>
      <w:r w:rsidRPr="00586DCF">
        <w:rPr>
          <w:rFonts w:ascii="Calibri" w:eastAsia="Calibri" w:hAnsi="Calibri" w:cs="Calibri"/>
          <w:sz w:val="20"/>
          <w:szCs w:val="20"/>
        </w:rPr>
        <w:t>:</w:t>
      </w:r>
    </w:p>
    <w:p w14:paraId="5DCED009" w14:textId="77777777" w:rsidR="005A7420" w:rsidRPr="00586DCF" w:rsidRDefault="005A7420" w:rsidP="005A7420">
      <w:pPr>
        <w:pStyle w:val="ListParagraph"/>
        <w:numPr>
          <w:ilvl w:val="0"/>
          <w:numId w:val="20"/>
        </w:numPr>
        <w:spacing w:line="240" w:lineRule="auto"/>
        <w:rPr>
          <w:rFonts w:eastAsia="Calibri" w:cs="Calibri"/>
          <w:sz w:val="20"/>
          <w:szCs w:val="20"/>
        </w:rPr>
      </w:pPr>
      <w:r>
        <w:rPr>
          <w:rFonts w:eastAsia="Calibri" w:cs="Calibri"/>
          <w:bCs/>
          <w:i/>
          <w:sz w:val="20"/>
          <w:szCs w:val="20"/>
        </w:rPr>
        <w:t>Podobne za svrhu</w:t>
      </w:r>
      <w:r w:rsidRPr="00586DCF">
        <w:rPr>
          <w:rFonts w:eastAsia="Calibri" w:cs="Calibri"/>
          <w:bCs/>
          <w:sz w:val="20"/>
          <w:szCs w:val="20"/>
        </w:rPr>
        <w:t>:</w:t>
      </w:r>
      <w:r w:rsidRPr="00586DCF">
        <w:rPr>
          <w:rFonts w:eastAsia="Calibri" w:cs="Calibri"/>
          <w:sz w:val="20"/>
          <w:szCs w:val="20"/>
        </w:rPr>
        <w:t xml:space="preserve"> </w:t>
      </w:r>
      <w:r w:rsidRPr="00A92E0A">
        <w:rPr>
          <w:rFonts w:eastAsia="Calibri" w:cs="Calibri"/>
          <w:sz w:val="20"/>
          <w:szCs w:val="20"/>
        </w:rPr>
        <w:t>Da li su rešenja koja se predlažu prikladna za ciljnu grupu mladih i njene jedinstvene izazove? Da li su potrebne neke promene kako bi se bolje prilagodile potrebama ciljne grupe? Da li su potrebne bilo kakve modifikacije kako bi se osiguralo da mlade žene mogu imati jednaku korist od investicije/usluge</w:t>
      </w:r>
      <w:r w:rsidRPr="00586DCF">
        <w:rPr>
          <w:rFonts w:eastAsia="Calibri" w:cs="Calibri"/>
          <w:sz w:val="20"/>
          <w:szCs w:val="20"/>
        </w:rPr>
        <w:t>?</w:t>
      </w:r>
    </w:p>
    <w:p w14:paraId="620FCAE6" w14:textId="77777777" w:rsidR="005A7420" w:rsidRPr="00586DCF" w:rsidRDefault="005A7420" w:rsidP="005A7420">
      <w:pPr>
        <w:pStyle w:val="ListParagraph"/>
        <w:rPr>
          <w:rFonts w:eastAsia="Calibri" w:cs="Calibri"/>
          <w:sz w:val="20"/>
          <w:szCs w:val="20"/>
        </w:rPr>
      </w:pPr>
    </w:p>
    <w:p w14:paraId="12E7CD66" w14:textId="77777777" w:rsidR="005A7420" w:rsidRPr="00586DCF" w:rsidRDefault="005A7420" w:rsidP="005A7420">
      <w:pPr>
        <w:pStyle w:val="ListParagraph"/>
        <w:numPr>
          <w:ilvl w:val="0"/>
          <w:numId w:val="20"/>
        </w:numPr>
        <w:spacing w:line="240" w:lineRule="auto"/>
        <w:rPr>
          <w:rFonts w:eastAsia="Calibri" w:cs="Calibri"/>
          <w:sz w:val="20"/>
          <w:szCs w:val="20"/>
        </w:rPr>
      </w:pPr>
      <w:r w:rsidRPr="00A92E0A">
        <w:rPr>
          <w:rFonts w:eastAsia="Calibri" w:cs="Calibri"/>
          <w:bCs/>
          <w:i/>
          <w:sz w:val="20"/>
          <w:szCs w:val="20"/>
        </w:rPr>
        <w:t>Poželjano dizajne/usluge</w:t>
      </w:r>
      <w:r w:rsidRPr="00586DCF">
        <w:rPr>
          <w:rFonts w:eastAsia="Calibri" w:cs="Calibri"/>
          <w:bCs/>
          <w:sz w:val="20"/>
          <w:szCs w:val="20"/>
        </w:rPr>
        <w:t>:</w:t>
      </w:r>
      <w:r w:rsidRPr="00586DCF">
        <w:rPr>
          <w:rFonts w:eastAsia="Calibri" w:cs="Calibri"/>
          <w:sz w:val="20"/>
          <w:szCs w:val="20"/>
        </w:rPr>
        <w:t xml:space="preserve"> </w:t>
      </w:r>
      <w:r w:rsidRPr="00A92E0A">
        <w:rPr>
          <w:rFonts w:eastAsia="Calibri" w:cs="Calibri"/>
          <w:sz w:val="20"/>
          <w:szCs w:val="20"/>
        </w:rPr>
        <w:t>Kako ciljna grupa zamišlja dizajn/uslugu? Šta bi povećalo verovatnoću da će ciljna grupa koristiti investiciju/uslugu</w:t>
      </w:r>
      <w:r w:rsidRPr="00586DCF">
        <w:rPr>
          <w:rFonts w:eastAsia="Calibri" w:cs="Calibri"/>
          <w:sz w:val="20"/>
          <w:szCs w:val="20"/>
        </w:rPr>
        <w:t>?</w:t>
      </w:r>
    </w:p>
    <w:p w14:paraId="61BF6E7C" w14:textId="77777777" w:rsidR="005A7420" w:rsidRPr="00586DCF" w:rsidRDefault="005A7420" w:rsidP="005A7420">
      <w:pPr>
        <w:pStyle w:val="Normal11"/>
        <w:spacing w:after="0" w:line="240" w:lineRule="auto"/>
        <w:contextualSpacing/>
        <w:jc w:val="both"/>
        <w:rPr>
          <w:rFonts w:cstheme="minorHAnsi"/>
          <w:sz w:val="20"/>
          <w:szCs w:val="20"/>
        </w:rPr>
      </w:pPr>
    </w:p>
    <w:p w14:paraId="07FE803D" w14:textId="77777777" w:rsidR="005A7420" w:rsidRPr="00586DCF" w:rsidRDefault="005A7420" w:rsidP="005A7420">
      <w:pPr>
        <w:pStyle w:val="Normal11"/>
        <w:spacing w:after="0" w:line="240" w:lineRule="auto"/>
        <w:contextualSpacing/>
        <w:jc w:val="both"/>
        <w:rPr>
          <w:rFonts w:cstheme="minorHAnsi"/>
          <w:sz w:val="20"/>
          <w:szCs w:val="20"/>
        </w:rPr>
      </w:pPr>
      <w:r w:rsidRPr="00A92E0A">
        <w:rPr>
          <w:rFonts w:cstheme="minorHAnsi"/>
          <w:sz w:val="20"/>
          <w:szCs w:val="20"/>
        </w:rPr>
        <w:t>Za potprojekte sa građevinskim radovima potrebna su dva dodatna pripremna koraka</w:t>
      </w:r>
      <w:r w:rsidRPr="00586DCF">
        <w:rPr>
          <w:rFonts w:cstheme="minorHAnsi"/>
          <w:sz w:val="20"/>
          <w:szCs w:val="20"/>
        </w:rPr>
        <w:t xml:space="preserve">: </w:t>
      </w:r>
    </w:p>
    <w:p w14:paraId="498A5AEF" w14:textId="77777777" w:rsidR="005A7420" w:rsidRPr="00586DCF" w:rsidRDefault="005A7420" w:rsidP="005A7420">
      <w:pPr>
        <w:pStyle w:val="Normal11"/>
        <w:spacing w:after="0" w:line="240" w:lineRule="auto"/>
        <w:contextualSpacing/>
        <w:jc w:val="both"/>
        <w:rPr>
          <w:rFonts w:cstheme="minorHAnsi"/>
          <w:sz w:val="20"/>
          <w:szCs w:val="20"/>
        </w:rPr>
      </w:pPr>
    </w:p>
    <w:p w14:paraId="5BCF5432" w14:textId="77777777" w:rsidR="005A7420" w:rsidRPr="00586DCF" w:rsidRDefault="005A7420" w:rsidP="005A7420">
      <w:pPr>
        <w:pStyle w:val="ListParagraph"/>
        <w:widowControl w:val="0"/>
        <w:numPr>
          <w:ilvl w:val="0"/>
          <w:numId w:val="19"/>
        </w:numPr>
        <w:autoSpaceDE w:val="0"/>
        <w:autoSpaceDN w:val="0"/>
        <w:adjustRightInd w:val="0"/>
        <w:spacing w:line="240" w:lineRule="auto"/>
        <w:rPr>
          <w:rFonts w:cstheme="minorHAnsi"/>
          <w:sz w:val="20"/>
          <w:szCs w:val="20"/>
        </w:rPr>
      </w:pPr>
      <w:r w:rsidRPr="00A92E0A">
        <w:rPr>
          <w:rFonts w:asciiTheme="minorHAnsi" w:hAnsiTheme="minorHAnsi" w:cstheme="minorHAnsi"/>
          <w:i/>
          <w:iCs/>
          <w:sz w:val="20"/>
          <w:szCs w:val="20"/>
        </w:rPr>
        <w:t>Tehnički pregled od strane opštine</w:t>
      </w:r>
      <w:r w:rsidRPr="00586DCF">
        <w:rPr>
          <w:rFonts w:asciiTheme="minorHAnsi" w:hAnsiTheme="minorHAnsi" w:cstheme="minorHAnsi"/>
          <w:sz w:val="20"/>
          <w:szCs w:val="20"/>
        </w:rPr>
        <w:t xml:space="preserve">: </w:t>
      </w:r>
      <w:r w:rsidRPr="00A92E0A">
        <w:rPr>
          <w:rFonts w:asciiTheme="minorHAnsi" w:hAnsiTheme="minorHAnsi" w:cstheme="minorHAnsi"/>
          <w:sz w:val="20"/>
          <w:szCs w:val="20"/>
        </w:rPr>
        <w:t>Po završetku obuke (meke veštine i PCM), grupe mladih sa predlozima za rehabilitaciju infrastrukture/objekata sastaće se sa opštinskim inženjerima kako bi razgovarali o tehničkoj izvodljivosti predloženih kapitalnih investicija i kupovine opreme. U konsultaciji sa opštinskim inženjerom, podnosioci prijave pripremaju tehničku kontrolnu listu (zahtevi za dokumente naveden pod tehničkom kontrolnom listom za prijavu br. 7 gore) za sve prijave za podgrantove koje uključuju građevinske radove. Opštinski inženjer potpisuje tehničku kontrolnu listu, koja se podnosi kao deo prijave za podgrant</w:t>
      </w:r>
      <w:r w:rsidRPr="00586DCF">
        <w:rPr>
          <w:rFonts w:asciiTheme="minorHAnsi" w:hAnsiTheme="minorHAnsi" w:cstheme="minorHAnsi"/>
          <w:sz w:val="20"/>
          <w:szCs w:val="20"/>
        </w:rPr>
        <w:t xml:space="preserve">. </w:t>
      </w:r>
    </w:p>
    <w:p w14:paraId="3BDDE60B" w14:textId="77777777" w:rsidR="005A7420" w:rsidRPr="00586DCF" w:rsidRDefault="005A7420" w:rsidP="005A7420">
      <w:pPr>
        <w:pStyle w:val="ListParagraph"/>
        <w:widowControl w:val="0"/>
        <w:numPr>
          <w:ilvl w:val="0"/>
          <w:numId w:val="19"/>
        </w:numPr>
        <w:autoSpaceDE w:val="0"/>
        <w:autoSpaceDN w:val="0"/>
        <w:adjustRightInd w:val="0"/>
        <w:spacing w:line="240" w:lineRule="auto"/>
        <w:rPr>
          <w:rFonts w:cstheme="minorHAnsi"/>
          <w:sz w:val="20"/>
          <w:szCs w:val="20"/>
        </w:rPr>
      </w:pPr>
      <w:r w:rsidRPr="00A92E0A">
        <w:rPr>
          <w:rFonts w:asciiTheme="minorHAnsi" w:hAnsiTheme="minorHAnsi" w:cstheme="minorHAnsi"/>
          <w:i/>
          <w:iCs/>
          <w:sz w:val="20"/>
          <w:szCs w:val="20"/>
        </w:rPr>
        <w:t>Ekološki i socijalni pregled</w:t>
      </w:r>
      <w:r w:rsidRPr="00586DCF">
        <w:rPr>
          <w:rFonts w:asciiTheme="minorHAnsi" w:hAnsiTheme="minorHAnsi" w:cstheme="minorHAnsi"/>
          <w:b/>
          <w:bCs/>
          <w:sz w:val="20"/>
          <w:szCs w:val="20"/>
        </w:rPr>
        <w:t xml:space="preserve">: </w:t>
      </w:r>
      <w:r w:rsidRPr="00A92E0A">
        <w:rPr>
          <w:rFonts w:asciiTheme="minorHAnsi" w:hAnsiTheme="minorHAnsi" w:cstheme="minorHAnsi"/>
          <w:sz w:val="20"/>
          <w:szCs w:val="20"/>
        </w:rPr>
        <w:t>Omladinske grupe moraju pregledati svoje predloge za potencijalne ekološke i društvene rizike koristeći Upitnik za procenu ekološkog i socijalnog rizika (zahtevi za dokumentom naveden u kontrolnoj listi br. 9 gore). Procenu sprovodi grupa mladih koja podnosi prijavu uz pomoć FP-NVO. Opštine procenjuju tehničku izvodljivost i daju inpute prema potrebi</w:t>
      </w:r>
      <w:r w:rsidRPr="00586DCF">
        <w:rPr>
          <w:rFonts w:asciiTheme="minorHAnsi" w:hAnsiTheme="minorHAnsi" w:cstheme="minorHAnsi"/>
          <w:sz w:val="20"/>
          <w:szCs w:val="20"/>
        </w:rPr>
        <w:t>.</w:t>
      </w:r>
    </w:p>
    <w:p w14:paraId="4ACF12B5" w14:textId="77777777" w:rsidR="005A7420" w:rsidRPr="00586DCF" w:rsidRDefault="005A7420" w:rsidP="005A7420">
      <w:pPr>
        <w:ind w:left="720"/>
        <w:rPr>
          <w:rFonts w:cstheme="minorHAnsi"/>
          <w:bCs/>
          <w:sz w:val="20"/>
          <w:szCs w:val="20"/>
        </w:rPr>
      </w:pPr>
      <w:r w:rsidRPr="001172F1">
        <w:rPr>
          <w:rFonts w:cstheme="minorHAnsi"/>
          <w:bCs/>
          <w:sz w:val="20"/>
          <w:szCs w:val="20"/>
        </w:rPr>
        <w:t xml:space="preserve">Upitnik za </w:t>
      </w:r>
      <w:r>
        <w:rPr>
          <w:rFonts w:cstheme="minorHAnsi"/>
          <w:bCs/>
          <w:sz w:val="20"/>
          <w:szCs w:val="20"/>
        </w:rPr>
        <w:t>P</w:t>
      </w:r>
      <w:r w:rsidRPr="001172F1">
        <w:rPr>
          <w:rFonts w:cstheme="minorHAnsi"/>
          <w:bCs/>
          <w:sz w:val="20"/>
          <w:szCs w:val="20"/>
        </w:rPr>
        <w:t xml:space="preserve">rocenu </w:t>
      </w:r>
      <w:r>
        <w:rPr>
          <w:rFonts w:cstheme="minorHAnsi"/>
          <w:bCs/>
          <w:sz w:val="20"/>
          <w:szCs w:val="20"/>
        </w:rPr>
        <w:t>E</w:t>
      </w:r>
      <w:r w:rsidRPr="001172F1">
        <w:rPr>
          <w:rFonts w:cstheme="minorHAnsi"/>
          <w:bCs/>
          <w:sz w:val="20"/>
          <w:szCs w:val="20"/>
        </w:rPr>
        <w:t xml:space="preserve">kološkog i </w:t>
      </w:r>
      <w:r>
        <w:rPr>
          <w:rFonts w:cstheme="minorHAnsi"/>
          <w:bCs/>
          <w:sz w:val="20"/>
          <w:szCs w:val="20"/>
        </w:rPr>
        <w:t>S</w:t>
      </w:r>
      <w:r w:rsidRPr="001172F1">
        <w:rPr>
          <w:rFonts w:cstheme="minorHAnsi"/>
          <w:bCs/>
          <w:sz w:val="20"/>
          <w:szCs w:val="20"/>
        </w:rPr>
        <w:t xml:space="preserve">ocijalnog </w:t>
      </w:r>
      <w:r>
        <w:rPr>
          <w:rFonts w:cstheme="minorHAnsi"/>
          <w:bCs/>
          <w:sz w:val="20"/>
          <w:szCs w:val="20"/>
        </w:rPr>
        <w:t>R</w:t>
      </w:r>
      <w:r w:rsidRPr="001172F1">
        <w:rPr>
          <w:rFonts w:cstheme="minorHAnsi"/>
          <w:bCs/>
          <w:sz w:val="20"/>
          <w:szCs w:val="20"/>
        </w:rPr>
        <w:t xml:space="preserve">izika podleže procesu </w:t>
      </w:r>
      <w:r>
        <w:rPr>
          <w:rFonts w:cstheme="minorHAnsi"/>
          <w:bCs/>
          <w:sz w:val="20"/>
          <w:szCs w:val="20"/>
        </w:rPr>
        <w:t>E</w:t>
      </w:r>
      <w:r w:rsidRPr="001172F1">
        <w:rPr>
          <w:rFonts w:cstheme="minorHAnsi"/>
          <w:bCs/>
          <w:sz w:val="20"/>
          <w:szCs w:val="20"/>
        </w:rPr>
        <w:t xml:space="preserve">kološke i </w:t>
      </w:r>
      <w:r>
        <w:rPr>
          <w:rFonts w:cstheme="minorHAnsi"/>
          <w:bCs/>
          <w:sz w:val="20"/>
          <w:szCs w:val="20"/>
        </w:rPr>
        <w:t>Socialne</w:t>
      </w:r>
      <w:r w:rsidRPr="001172F1">
        <w:rPr>
          <w:rFonts w:cstheme="minorHAnsi"/>
          <w:bCs/>
          <w:sz w:val="20"/>
          <w:szCs w:val="20"/>
        </w:rPr>
        <w:t xml:space="preserve"> </w:t>
      </w:r>
      <w:r>
        <w:rPr>
          <w:rFonts w:cstheme="minorHAnsi"/>
          <w:bCs/>
          <w:sz w:val="20"/>
          <w:szCs w:val="20"/>
        </w:rPr>
        <w:t>S</w:t>
      </w:r>
      <w:r w:rsidRPr="001172F1">
        <w:rPr>
          <w:rFonts w:cstheme="minorHAnsi"/>
          <w:bCs/>
          <w:sz w:val="20"/>
          <w:szCs w:val="20"/>
        </w:rPr>
        <w:t xml:space="preserve">elekcije i kategorizaciji projekta koju sprovodi </w:t>
      </w:r>
      <w:r w:rsidRPr="009A0563">
        <w:rPr>
          <w:rFonts w:cs="Calibri"/>
          <w:sz w:val="20"/>
          <w:szCs w:val="20"/>
        </w:rPr>
        <w:t>JUP</w:t>
      </w:r>
      <w:r w:rsidRPr="001172F1">
        <w:rPr>
          <w:rFonts w:cstheme="minorHAnsi"/>
          <w:bCs/>
          <w:sz w:val="20"/>
          <w:szCs w:val="20"/>
        </w:rPr>
        <w:t>.</w:t>
      </w:r>
    </w:p>
    <w:p w14:paraId="17ABBFBF" w14:textId="77777777" w:rsidR="005A7420" w:rsidRDefault="005A7420" w:rsidP="005A7420">
      <w:pPr>
        <w:jc w:val="both"/>
        <w:rPr>
          <w:rFonts w:cstheme="minorHAnsi"/>
          <w:bCs/>
          <w:sz w:val="20"/>
          <w:szCs w:val="20"/>
        </w:rPr>
      </w:pPr>
    </w:p>
    <w:p w14:paraId="027CFFD1" w14:textId="3D1364AD" w:rsidR="005A7420" w:rsidRPr="001C59B7" w:rsidRDefault="005A7420" w:rsidP="001C59B7">
      <w:pPr>
        <w:pStyle w:val="Heading1"/>
        <w:rPr>
          <w:rFonts w:cstheme="minorHAnsi"/>
          <w:bCs/>
          <w:sz w:val="22"/>
          <w:szCs w:val="22"/>
        </w:rPr>
      </w:pPr>
      <w:bookmarkStart w:id="30" w:name="_Toc101439460"/>
      <w:r w:rsidRPr="001C59B7">
        <w:rPr>
          <w:shd w:val="clear" w:color="auto" w:fill="FFFFFF"/>
        </w:rPr>
        <w:t>ROK ZA PRIJAVU</w:t>
      </w:r>
      <w:bookmarkEnd w:id="30"/>
    </w:p>
    <w:p w14:paraId="10B30B7B" w14:textId="688F5AA5" w:rsidR="001C59B7" w:rsidRPr="001C59B7" w:rsidRDefault="001C59B7" w:rsidP="001C59B7">
      <w:pPr>
        <w:jc w:val="both"/>
        <w:rPr>
          <w:rFonts w:cstheme="minorHAnsi"/>
          <w:bCs/>
          <w:sz w:val="20"/>
          <w:szCs w:val="20"/>
        </w:rPr>
      </w:pPr>
      <w:r w:rsidRPr="001C59B7">
        <w:rPr>
          <w:rFonts w:cstheme="minorHAnsi"/>
          <w:bCs/>
          <w:sz w:val="20"/>
          <w:szCs w:val="20"/>
        </w:rPr>
        <w:t>Podnosioci prijava su dužni da dostave sve gore navedene dokumente kako bi bili kvalifikovani za evaluaciju. Obrazac za prijavu, obrazac budžeta, izjava o dvostrukom finansiranju, tehnička kontrolna lista i upitnik za procenu ekoloških i društvenih rizika dostupni su kao deo paketa prijave. Nakon završetka procesa evaluacije i objavljivanja konačnih rezultata, od odabranih korisnika će se tražiti da dostave i druge dokumente.</w:t>
      </w:r>
    </w:p>
    <w:p w14:paraId="3FCC3863" w14:textId="77777777" w:rsidR="001C59B7" w:rsidRPr="001C59B7" w:rsidRDefault="001C59B7" w:rsidP="001C59B7">
      <w:pPr>
        <w:jc w:val="both"/>
        <w:rPr>
          <w:rFonts w:cstheme="minorHAnsi"/>
          <w:bCs/>
          <w:sz w:val="20"/>
          <w:szCs w:val="20"/>
        </w:rPr>
      </w:pPr>
      <w:r w:rsidRPr="001C59B7">
        <w:rPr>
          <w:rFonts w:cstheme="minorHAnsi"/>
          <w:bCs/>
          <w:sz w:val="20"/>
          <w:szCs w:val="20"/>
        </w:rPr>
        <w:t xml:space="preserve">Popunjenu prijavu podnosioci prijave moraju dostaviti u Prijemnu kancelariju u Opštini najkasnije u roku </w:t>
      </w:r>
      <w:r w:rsidRPr="001C59B7">
        <w:rPr>
          <w:rFonts w:cstheme="minorHAnsi"/>
          <w:b/>
          <w:sz w:val="20"/>
          <w:szCs w:val="20"/>
        </w:rPr>
        <w:t>od 15 dana od dana objavljivanja poziva od strane opštine</w:t>
      </w:r>
      <w:r w:rsidRPr="001C59B7">
        <w:rPr>
          <w:rFonts w:cstheme="minorHAnsi"/>
          <w:bCs/>
          <w:sz w:val="20"/>
          <w:szCs w:val="20"/>
        </w:rPr>
        <w:t>. Biće razmatrane samo prijave koje ispunjavaju sve uslove ovog poziva.</w:t>
      </w:r>
    </w:p>
    <w:p w14:paraId="18178C6B" w14:textId="2B93ED50" w:rsidR="00D10677" w:rsidRPr="00CD70C3" w:rsidRDefault="001C59B7" w:rsidP="001C59B7">
      <w:pPr>
        <w:jc w:val="both"/>
        <w:rPr>
          <w:sz w:val="20"/>
          <w:szCs w:val="20"/>
        </w:rPr>
      </w:pPr>
      <w:r w:rsidRPr="001C59B7">
        <w:rPr>
          <w:rFonts w:cstheme="minorHAnsi"/>
          <w:bCs/>
          <w:sz w:val="20"/>
          <w:szCs w:val="20"/>
        </w:rPr>
        <w:t xml:space="preserve">Sva pitanja koja imate o pripremi prijave ili detaljima prijave možete poslati e-poštom na: </w:t>
      </w:r>
      <w:bookmarkStart w:id="31" w:name="_GoBack"/>
      <w:bookmarkEnd w:id="31"/>
      <w:r w:rsidR="00E82B9C">
        <w:rPr>
          <w:rFonts w:cstheme="minorHAnsi"/>
          <w:bCs/>
          <w:sz w:val="20"/>
          <w:szCs w:val="20"/>
        </w:rPr>
        <w:fldChar w:fldCharType="begin"/>
      </w:r>
      <w:r w:rsidR="00E82B9C">
        <w:rPr>
          <w:rFonts w:cstheme="minorHAnsi"/>
          <w:bCs/>
          <w:sz w:val="20"/>
          <w:szCs w:val="20"/>
        </w:rPr>
        <w:instrText xml:space="preserve"> HYPERLINK "mailto:</w:instrText>
      </w:r>
      <w:r w:rsidR="00E82B9C" w:rsidRPr="00E82B9C">
        <w:rPr>
          <w:rFonts w:cstheme="minorHAnsi"/>
          <w:bCs/>
          <w:sz w:val="20"/>
          <w:szCs w:val="20"/>
        </w:rPr>
        <w:instrText>m4ygrants@kcdf.org</w:instrText>
      </w:r>
      <w:r w:rsidR="00E82B9C">
        <w:rPr>
          <w:rFonts w:cstheme="minorHAnsi"/>
          <w:bCs/>
          <w:sz w:val="20"/>
          <w:szCs w:val="20"/>
        </w:rPr>
        <w:instrText xml:space="preserve">" </w:instrText>
      </w:r>
      <w:r w:rsidR="00E82B9C">
        <w:rPr>
          <w:rFonts w:cstheme="minorHAnsi"/>
          <w:bCs/>
          <w:sz w:val="20"/>
          <w:szCs w:val="20"/>
        </w:rPr>
        <w:fldChar w:fldCharType="separate"/>
      </w:r>
      <w:r w:rsidR="00E82B9C" w:rsidRPr="00FB27F4">
        <w:rPr>
          <w:rStyle w:val="Hyperlink"/>
          <w:rFonts w:cstheme="minorHAnsi"/>
          <w:bCs/>
          <w:sz w:val="20"/>
          <w:szCs w:val="20"/>
        </w:rPr>
        <w:t>m4ygrants@kcdf.org</w:t>
      </w:r>
      <w:r w:rsidR="00E82B9C">
        <w:rPr>
          <w:rFonts w:cstheme="minorHAnsi"/>
          <w:bCs/>
          <w:sz w:val="20"/>
          <w:szCs w:val="20"/>
        </w:rPr>
        <w:fldChar w:fldCharType="end"/>
      </w:r>
      <w:r>
        <w:rPr>
          <w:rFonts w:cstheme="minorHAnsi"/>
          <w:bCs/>
          <w:sz w:val="20"/>
          <w:szCs w:val="20"/>
        </w:rPr>
        <w:t xml:space="preserve"> </w:t>
      </w:r>
    </w:p>
    <w:sectPr w:rsidR="00D10677" w:rsidRPr="00CD70C3">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CC9A57" w14:textId="77777777" w:rsidR="00E73974" w:rsidRDefault="00E73974" w:rsidP="008B442E">
      <w:pPr>
        <w:spacing w:after="0" w:line="240" w:lineRule="auto"/>
      </w:pPr>
      <w:r>
        <w:separator/>
      </w:r>
    </w:p>
  </w:endnote>
  <w:endnote w:type="continuationSeparator" w:id="0">
    <w:p w14:paraId="1DE6B630" w14:textId="77777777" w:rsidR="00E73974" w:rsidRDefault="00E73974" w:rsidP="008B44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6565267"/>
      <w:docPartObj>
        <w:docPartGallery w:val="Page Numbers (Bottom of Page)"/>
        <w:docPartUnique/>
      </w:docPartObj>
    </w:sdtPr>
    <w:sdtEndPr/>
    <w:sdtContent>
      <w:p w14:paraId="485D5D97" w14:textId="46228FF6" w:rsidR="009B2EF3" w:rsidRDefault="009B2EF3">
        <w:pPr>
          <w:pStyle w:val="Footer"/>
          <w:jc w:val="right"/>
        </w:pPr>
        <w:r>
          <w:rPr>
            <w:noProof w:val="0"/>
          </w:rPr>
          <w:fldChar w:fldCharType="begin"/>
        </w:r>
        <w:r>
          <w:instrText xml:space="preserve"> PAGE   \* MERGEFORMAT </w:instrText>
        </w:r>
        <w:r>
          <w:rPr>
            <w:noProof w:val="0"/>
          </w:rPr>
          <w:fldChar w:fldCharType="separate"/>
        </w:r>
        <w:r w:rsidR="00D644EF">
          <w:t>14</w:t>
        </w:r>
        <w:r>
          <w:fldChar w:fldCharType="end"/>
        </w:r>
      </w:p>
    </w:sdtContent>
  </w:sdt>
  <w:p w14:paraId="40DC4425" w14:textId="77777777" w:rsidR="009B2EF3" w:rsidRDefault="009B2EF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031319" w14:textId="77777777" w:rsidR="00E73974" w:rsidRDefault="00E73974" w:rsidP="008B442E">
      <w:pPr>
        <w:spacing w:after="0" w:line="240" w:lineRule="auto"/>
      </w:pPr>
      <w:r>
        <w:separator/>
      </w:r>
    </w:p>
  </w:footnote>
  <w:footnote w:type="continuationSeparator" w:id="0">
    <w:p w14:paraId="17839194" w14:textId="77777777" w:rsidR="00E73974" w:rsidRDefault="00E73974" w:rsidP="008B442E">
      <w:pPr>
        <w:spacing w:after="0" w:line="240" w:lineRule="auto"/>
      </w:pPr>
      <w:r>
        <w:continuationSeparator/>
      </w:r>
    </w:p>
  </w:footnote>
  <w:footnote w:id="1">
    <w:p w14:paraId="66866377" w14:textId="77777777" w:rsidR="005A7420" w:rsidRPr="007C6D28" w:rsidRDefault="005A7420" w:rsidP="005A7420">
      <w:pPr>
        <w:pStyle w:val="FootnoteText"/>
      </w:pPr>
      <w:r w:rsidRPr="007C6D28">
        <w:rPr>
          <w:rStyle w:val="FootnoteReference"/>
        </w:rPr>
        <w:footnoteRef/>
      </w:r>
      <w:r w:rsidRPr="007C6D28">
        <w:rPr>
          <w:szCs w:val="18"/>
        </w:rPr>
        <w:t>U okviru komponente 2 projekta M4Y, pre objavljivanja CfP-a, mlade žene i muškarci (15-24) će biti obučeni o mekim veštinama i upravljanju projektnim ciklusom, odnosno veštinama vođenja, kreativnosti, posredovanju u konfliktima, komunikaciji i timskom radu. Ova obuka će biti polazna tačka za mlade korisnike zainteresovane za izradu predloga potprojekata.</w:t>
      </w:r>
    </w:p>
  </w:footnote>
  <w:footnote w:id="2">
    <w:p w14:paraId="4CA2C8E9" w14:textId="77777777" w:rsidR="005A7420" w:rsidRPr="007C6D28" w:rsidRDefault="005A7420" w:rsidP="005A7420">
      <w:pPr>
        <w:pStyle w:val="FootnoteText"/>
      </w:pPr>
      <w:r w:rsidRPr="007C6D28">
        <w:rPr>
          <w:rStyle w:val="FootnoteReference"/>
        </w:rPr>
        <w:footnoteRef/>
      </w:r>
      <w:r w:rsidRPr="007C6D28">
        <w:rPr>
          <w:szCs w:val="18"/>
        </w:rPr>
        <w:t>Prostori za stvaranje za mlade su prostori orijentisani na podsticanje saradnje, učenja i deljenja za kreativne projekte. Obično se isporučuju sa opremom (IT ili nekom drugom) kako bi se olakšao proces učenja i izrade. Često se fokusiraju na tehnologiju (kodiranje, 3D štampanje, veb dizajn, itd.), ali mogu uključivati i druge vrste projekata (npr. šivanje, obrada drveta, itd.). Fokus je na pronalasku i učenju kroz rad.</w:t>
      </w:r>
    </w:p>
  </w:footnote>
  <w:footnote w:id="3">
    <w:p w14:paraId="1C027614" w14:textId="77777777" w:rsidR="005A7420" w:rsidRPr="007C6D28" w:rsidRDefault="005A7420" w:rsidP="005A7420">
      <w:pPr>
        <w:pStyle w:val="FootnoteText"/>
        <w:rPr>
          <w:rFonts w:ascii="Calibri" w:hAnsi="Calibri" w:cs="Calibri"/>
          <w:szCs w:val="18"/>
        </w:rPr>
      </w:pPr>
      <w:r w:rsidRPr="007C6D28">
        <w:rPr>
          <w:rStyle w:val="FootnoteReference"/>
          <w:rFonts w:ascii="Calibri" w:hAnsi="Calibri" w:cs="Calibri"/>
          <w:szCs w:val="18"/>
        </w:rPr>
        <w:footnoteRef/>
      </w:r>
      <w:r w:rsidRPr="007C6D28">
        <w:rPr>
          <w:rFonts w:ascii="Calibri" w:hAnsi="Calibri" w:cs="Calibri"/>
          <w:szCs w:val="18"/>
        </w:rPr>
        <w:t xml:space="preserve"> </w:t>
      </w:r>
      <w:r w:rsidRPr="00A340CB">
        <w:rPr>
          <w:rFonts w:ascii="Calibri" w:hAnsi="Calibri" w:cs="Calibri"/>
          <w:szCs w:val="18"/>
        </w:rPr>
        <w:t>Vođa grupe potpisuje sporazum u ime nagrađene omladinske grupe/CBO-a</w:t>
      </w:r>
      <w:r w:rsidRPr="007C6D28">
        <w:rPr>
          <w:rFonts w:ascii="Calibri" w:hAnsi="Calibri" w:cs="Calibri"/>
          <w:szCs w:val="18"/>
        </w:rPr>
        <w:t>.</w:t>
      </w:r>
    </w:p>
  </w:footnote>
  <w:footnote w:id="4">
    <w:p w14:paraId="2578922B" w14:textId="77777777" w:rsidR="005A7420" w:rsidRPr="007C6D28" w:rsidRDefault="005A7420" w:rsidP="005A7420">
      <w:pPr>
        <w:pStyle w:val="FootnoteText"/>
      </w:pPr>
      <w:r w:rsidRPr="007C6D28">
        <w:rPr>
          <w:rStyle w:val="FootnoteReference"/>
          <w:szCs w:val="18"/>
        </w:rPr>
        <w:footnoteRef/>
      </w:r>
      <w:r w:rsidRPr="00A92E0A">
        <w:rPr>
          <w:rFonts w:cstheme="minorHAnsi"/>
          <w:bCs/>
          <w:szCs w:val="18"/>
        </w:rPr>
        <w:t>Podnosilac se odnosi na lidera mladih koji se prijavljuje u ime neformalnih grupa mladih i predstavnika koji se prijavljuje u ime CBO</w:t>
      </w:r>
      <w:r>
        <w:rPr>
          <w:rFonts w:cstheme="minorHAnsi"/>
          <w:bCs/>
          <w:szCs w:val="18"/>
        </w:rPr>
        <w:t>-a</w:t>
      </w:r>
      <w:r w:rsidRPr="007C6D28">
        <w:rPr>
          <w:rFonts w:cstheme="minorHAnsi"/>
          <w:szCs w:val="18"/>
        </w:rPr>
        <w:t>.</w:t>
      </w:r>
    </w:p>
  </w:footnote>
  <w:footnote w:id="5">
    <w:p w14:paraId="1D8C383E" w14:textId="77777777" w:rsidR="005A7420" w:rsidRPr="007C6D28" w:rsidRDefault="005A7420" w:rsidP="005A7420">
      <w:pPr>
        <w:pStyle w:val="Normal11"/>
        <w:spacing w:after="0" w:line="240" w:lineRule="auto"/>
        <w:contextualSpacing/>
        <w:jc w:val="both"/>
        <w:rPr>
          <w:rFonts w:cstheme="minorHAnsi"/>
          <w:sz w:val="18"/>
          <w:szCs w:val="18"/>
        </w:rPr>
      </w:pPr>
      <w:r w:rsidRPr="007C6D28">
        <w:rPr>
          <w:rStyle w:val="FootnoteReference"/>
        </w:rPr>
        <w:footnoteRef/>
      </w:r>
      <w:r w:rsidRPr="00A92E0A">
        <w:rPr>
          <w:rFonts w:cstheme="minorHAnsi"/>
          <w:sz w:val="18"/>
          <w:szCs w:val="18"/>
        </w:rPr>
        <w:t>Odobravanje zajednice: Omladinske grupe završavaju svoje predloge tražeći odobrenje od najmanje jednog priznatog subjekta zajednice (susedsko veće, versko udruženje, omladinski centar, itd.) relevantnog za svaku lokaciju. Potvrda se podnosi uz prijavu za podgrant</w:t>
      </w:r>
      <w:r w:rsidRPr="007C6D28">
        <w:rPr>
          <w:rFonts w:cstheme="minorHAnsi"/>
          <w:sz w:val="18"/>
          <w:szCs w:val="18"/>
        </w:rPr>
        <w:t>.</w:t>
      </w:r>
    </w:p>
    <w:p w14:paraId="275653FA" w14:textId="77777777" w:rsidR="005A7420" w:rsidRPr="007C6D28" w:rsidRDefault="005A7420" w:rsidP="005A7420">
      <w:pPr>
        <w:pStyle w:val="FootnoteText"/>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548E0"/>
    <w:multiLevelType w:val="hybridMultilevel"/>
    <w:tmpl w:val="DF9C24FA"/>
    <w:lvl w:ilvl="0" w:tplc="F75621EA">
      <w:start w:val="1"/>
      <w:numFmt w:val="bullet"/>
      <w:lvlText w:val=""/>
      <w:lvlJc w:val="left"/>
      <w:pPr>
        <w:ind w:left="77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C46F7E"/>
    <w:multiLevelType w:val="hybridMultilevel"/>
    <w:tmpl w:val="E912D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834C93"/>
    <w:multiLevelType w:val="hybridMultilevel"/>
    <w:tmpl w:val="CBDE8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FF0099"/>
    <w:multiLevelType w:val="hybridMultilevel"/>
    <w:tmpl w:val="CC7C55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FA2CF3DA">
      <w:start w:val="1"/>
      <w:numFmt w:val="bullet"/>
      <w:lvlText w:val="-"/>
      <w:lvlJc w:val="left"/>
      <w:pPr>
        <w:ind w:left="2880" w:hanging="360"/>
      </w:pPr>
      <w:rPr>
        <w:rFonts w:ascii="Calibri" w:eastAsia="Arial" w:hAnsi="Calibri" w:cs="Calibri"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3544A6"/>
    <w:multiLevelType w:val="hybridMultilevel"/>
    <w:tmpl w:val="CAF46DC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5" w15:restartNumberingAfterBreak="0">
    <w:nsid w:val="2166783F"/>
    <w:multiLevelType w:val="hybridMultilevel"/>
    <w:tmpl w:val="EDD8038C"/>
    <w:lvl w:ilvl="0" w:tplc="4B36DBB0">
      <w:start w:val="1"/>
      <w:numFmt w:val="upperRoman"/>
      <w:lvlText w:val="%1."/>
      <w:lvlJc w:val="left"/>
      <w:pPr>
        <w:ind w:left="1224" w:hanging="360"/>
      </w:pPr>
      <w:rPr>
        <w:rFonts w:hint="default"/>
        <w:sz w:val="24"/>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6" w15:restartNumberingAfterBreak="0">
    <w:nsid w:val="426B49B9"/>
    <w:multiLevelType w:val="hybridMultilevel"/>
    <w:tmpl w:val="FFCCFE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47471F7C"/>
    <w:multiLevelType w:val="hybridMultilevel"/>
    <w:tmpl w:val="FA30A4D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1027C34"/>
    <w:multiLevelType w:val="hybridMultilevel"/>
    <w:tmpl w:val="37A4F57A"/>
    <w:lvl w:ilvl="0" w:tplc="A6186192">
      <w:numFmt w:val="bullet"/>
      <w:lvlText w:val="-"/>
      <w:lvlJc w:val="left"/>
      <w:pPr>
        <w:ind w:left="765" w:hanging="360"/>
      </w:pPr>
      <w:rPr>
        <w:rFonts w:ascii="Calibri" w:eastAsia="Times New Roman" w:hAnsi="Calibri" w:cs="Times New Roman"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52D85C7D"/>
    <w:multiLevelType w:val="multilevel"/>
    <w:tmpl w:val="2D6CF668"/>
    <w:lvl w:ilvl="0">
      <w:start w:val="2"/>
      <w:numFmt w:val="decimal"/>
      <w:lvlText w:val="%1"/>
      <w:lvlJc w:val="left"/>
      <w:pPr>
        <w:ind w:left="360" w:hanging="360"/>
      </w:pPr>
      <w:rPr>
        <w:rFonts w:hint="default"/>
      </w:rPr>
    </w:lvl>
    <w:lvl w:ilvl="1">
      <w:start w:val="1"/>
      <w:numFmt w:val="decimal"/>
      <w:pStyle w:val="SUBHEADING"/>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0" w15:restartNumberingAfterBreak="0">
    <w:nsid w:val="564A2755"/>
    <w:multiLevelType w:val="hybridMultilevel"/>
    <w:tmpl w:val="31FE5AAE"/>
    <w:lvl w:ilvl="0" w:tplc="F75621EA">
      <w:start w:val="1"/>
      <w:numFmt w:val="bullet"/>
      <w:lvlText w:val=""/>
      <w:lvlJc w:val="left"/>
      <w:pPr>
        <w:ind w:left="770" w:hanging="720"/>
      </w:pPr>
      <w:rPr>
        <w:rFonts w:ascii="Symbol" w:hAnsi="Symbol" w:hint="default"/>
      </w:rPr>
    </w:lvl>
    <w:lvl w:ilvl="1" w:tplc="90A20546" w:tentative="1">
      <w:start w:val="1"/>
      <w:numFmt w:val="lowerLetter"/>
      <w:lvlText w:val="%2."/>
      <w:lvlJc w:val="left"/>
      <w:pPr>
        <w:ind w:left="1130" w:hanging="360"/>
      </w:pPr>
    </w:lvl>
    <w:lvl w:ilvl="2" w:tplc="CF129736" w:tentative="1">
      <w:start w:val="1"/>
      <w:numFmt w:val="lowerRoman"/>
      <w:lvlText w:val="%3."/>
      <w:lvlJc w:val="right"/>
      <w:pPr>
        <w:ind w:left="1850" w:hanging="180"/>
      </w:pPr>
    </w:lvl>
    <w:lvl w:ilvl="3" w:tplc="57A6E76A" w:tentative="1">
      <w:start w:val="1"/>
      <w:numFmt w:val="decimal"/>
      <w:lvlText w:val="%4."/>
      <w:lvlJc w:val="left"/>
      <w:pPr>
        <w:ind w:left="2570" w:hanging="360"/>
      </w:pPr>
    </w:lvl>
    <w:lvl w:ilvl="4" w:tplc="612074B2" w:tentative="1">
      <w:start w:val="1"/>
      <w:numFmt w:val="lowerLetter"/>
      <w:lvlText w:val="%5."/>
      <w:lvlJc w:val="left"/>
      <w:pPr>
        <w:ind w:left="3290" w:hanging="360"/>
      </w:pPr>
    </w:lvl>
    <w:lvl w:ilvl="5" w:tplc="48C62CBA" w:tentative="1">
      <w:start w:val="1"/>
      <w:numFmt w:val="lowerRoman"/>
      <w:lvlText w:val="%6."/>
      <w:lvlJc w:val="right"/>
      <w:pPr>
        <w:ind w:left="4010" w:hanging="180"/>
      </w:pPr>
    </w:lvl>
    <w:lvl w:ilvl="6" w:tplc="6024C43E" w:tentative="1">
      <w:start w:val="1"/>
      <w:numFmt w:val="decimal"/>
      <w:lvlText w:val="%7."/>
      <w:lvlJc w:val="left"/>
      <w:pPr>
        <w:ind w:left="4730" w:hanging="360"/>
      </w:pPr>
    </w:lvl>
    <w:lvl w:ilvl="7" w:tplc="FD4AA6C0" w:tentative="1">
      <w:start w:val="1"/>
      <w:numFmt w:val="lowerLetter"/>
      <w:lvlText w:val="%8."/>
      <w:lvlJc w:val="left"/>
      <w:pPr>
        <w:ind w:left="5450" w:hanging="360"/>
      </w:pPr>
    </w:lvl>
    <w:lvl w:ilvl="8" w:tplc="A75623C2" w:tentative="1">
      <w:start w:val="1"/>
      <w:numFmt w:val="lowerRoman"/>
      <w:lvlText w:val="%9."/>
      <w:lvlJc w:val="right"/>
      <w:pPr>
        <w:ind w:left="6170" w:hanging="180"/>
      </w:pPr>
    </w:lvl>
  </w:abstractNum>
  <w:abstractNum w:abstractNumId="11" w15:restartNumberingAfterBreak="0">
    <w:nsid w:val="57510707"/>
    <w:multiLevelType w:val="hybridMultilevel"/>
    <w:tmpl w:val="70F28B34"/>
    <w:lvl w:ilvl="0" w:tplc="5B066560">
      <w:start w:val="1"/>
      <w:numFmt w:val="bullet"/>
      <w:lvlText w:val=""/>
      <w:lvlJc w:val="left"/>
      <w:pPr>
        <w:ind w:left="-90" w:hanging="360"/>
      </w:pPr>
      <w:rPr>
        <w:rFonts w:ascii="Symbol" w:hAnsi="Symbol" w:hint="default"/>
      </w:rPr>
    </w:lvl>
    <w:lvl w:ilvl="1" w:tplc="89EA5C88">
      <w:start w:val="1"/>
      <w:numFmt w:val="bullet"/>
      <w:lvlText w:val="o"/>
      <w:lvlJc w:val="left"/>
      <w:pPr>
        <w:ind w:left="630" w:hanging="360"/>
      </w:pPr>
      <w:rPr>
        <w:rFonts w:ascii="Courier New" w:hAnsi="Courier New" w:cs="Courier New" w:hint="default"/>
      </w:rPr>
    </w:lvl>
    <w:lvl w:ilvl="2" w:tplc="3DA8DB72">
      <w:start w:val="1"/>
      <w:numFmt w:val="bullet"/>
      <w:lvlText w:val=""/>
      <w:lvlJc w:val="left"/>
      <w:pPr>
        <w:ind w:left="1350" w:hanging="360"/>
      </w:pPr>
      <w:rPr>
        <w:rFonts w:ascii="Wingdings" w:hAnsi="Wingdings" w:hint="default"/>
      </w:rPr>
    </w:lvl>
    <w:lvl w:ilvl="3" w:tplc="4D3EA7D8">
      <w:start w:val="1"/>
      <w:numFmt w:val="bullet"/>
      <w:lvlText w:val=""/>
      <w:lvlJc w:val="left"/>
      <w:pPr>
        <w:ind w:left="2070" w:hanging="360"/>
      </w:pPr>
      <w:rPr>
        <w:rFonts w:ascii="Symbol" w:hAnsi="Symbol" w:hint="default"/>
      </w:rPr>
    </w:lvl>
    <w:lvl w:ilvl="4" w:tplc="A5C4C5A2">
      <w:start w:val="1"/>
      <w:numFmt w:val="bullet"/>
      <w:lvlText w:val="o"/>
      <w:lvlJc w:val="left"/>
      <w:pPr>
        <w:ind w:left="2790" w:hanging="360"/>
      </w:pPr>
      <w:rPr>
        <w:rFonts w:ascii="Courier New" w:hAnsi="Courier New" w:cs="Courier New" w:hint="default"/>
      </w:rPr>
    </w:lvl>
    <w:lvl w:ilvl="5" w:tplc="8646C082" w:tentative="1">
      <w:start w:val="1"/>
      <w:numFmt w:val="bullet"/>
      <w:lvlText w:val=""/>
      <w:lvlJc w:val="left"/>
      <w:pPr>
        <w:ind w:left="3510" w:hanging="360"/>
      </w:pPr>
      <w:rPr>
        <w:rFonts w:ascii="Wingdings" w:hAnsi="Wingdings" w:hint="default"/>
      </w:rPr>
    </w:lvl>
    <w:lvl w:ilvl="6" w:tplc="D4DA5472" w:tentative="1">
      <w:start w:val="1"/>
      <w:numFmt w:val="bullet"/>
      <w:lvlText w:val=""/>
      <w:lvlJc w:val="left"/>
      <w:pPr>
        <w:ind w:left="4230" w:hanging="360"/>
      </w:pPr>
      <w:rPr>
        <w:rFonts w:ascii="Symbol" w:hAnsi="Symbol" w:hint="default"/>
      </w:rPr>
    </w:lvl>
    <w:lvl w:ilvl="7" w:tplc="31F4B36E" w:tentative="1">
      <w:start w:val="1"/>
      <w:numFmt w:val="bullet"/>
      <w:lvlText w:val="o"/>
      <w:lvlJc w:val="left"/>
      <w:pPr>
        <w:ind w:left="4950" w:hanging="360"/>
      </w:pPr>
      <w:rPr>
        <w:rFonts w:ascii="Courier New" w:hAnsi="Courier New" w:cs="Courier New" w:hint="default"/>
      </w:rPr>
    </w:lvl>
    <w:lvl w:ilvl="8" w:tplc="F15E3604" w:tentative="1">
      <w:start w:val="1"/>
      <w:numFmt w:val="bullet"/>
      <w:lvlText w:val=""/>
      <w:lvlJc w:val="left"/>
      <w:pPr>
        <w:ind w:left="5670" w:hanging="360"/>
      </w:pPr>
      <w:rPr>
        <w:rFonts w:ascii="Wingdings" w:hAnsi="Wingdings" w:hint="default"/>
      </w:rPr>
    </w:lvl>
  </w:abstractNum>
  <w:abstractNum w:abstractNumId="12" w15:restartNumberingAfterBreak="0">
    <w:nsid w:val="5833759C"/>
    <w:multiLevelType w:val="hybridMultilevel"/>
    <w:tmpl w:val="54825C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F2A11B7"/>
    <w:multiLevelType w:val="hybridMultilevel"/>
    <w:tmpl w:val="88827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0D93183"/>
    <w:multiLevelType w:val="hybridMultilevel"/>
    <w:tmpl w:val="84620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20269D"/>
    <w:multiLevelType w:val="hybridMultilevel"/>
    <w:tmpl w:val="17241568"/>
    <w:lvl w:ilvl="0" w:tplc="0409000F">
      <w:start w:val="1"/>
      <w:numFmt w:val="decimal"/>
      <w:lvlText w:val="%1."/>
      <w:lvlJc w:val="left"/>
      <w:pPr>
        <w:ind w:left="360" w:hanging="360"/>
      </w:pPr>
      <w:rPr>
        <w:rFonts w:hint="default"/>
        <w:b w:val="0"/>
        <w:bCs w:val="0"/>
        <w:sz w:val="20"/>
        <w:szCs w:val="20"/>
      </w:rPr>
    </w:lvl>
    <w:lvl w:ilvl="1" w:tplc="08090019">
      <w:start w:val="1"/>
      <w:numFmt w:val="lowerLetter"/>
      <w:lvlText w:val="%2."/>
      <w:lvlJc w:val="left"/>
      <w:pPr>
        <w:ind w:left="1440" w:hanging="360"/>
      </w:pPr>
    </w:lvl>
    <w:lvl w:ilvl="2" w:tplc="A64E7596">
      <w:start w:val="1"/>
      <w:numFmt w:val="lowerRoman"/>
      <w:lvlText w:val="(%3)"/>
      <w:lvlJc w:val="left"/>
      <w:pPr>
        <w:ind w:left="2700" w:hanging="720"/>
      </w:pPr>
      <w:rPr>
        <w:rFonts w:asciiTheme="minorHAnsi" w:hAnsiTheme="minorHAnsi" w:hint="default"/>
        <w:color w:val="000000" w:themeColor="text1"/>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5F36DB6"/>
    <w:multiLevelType w:val="hybridMultilevel"/>
    <w:tmpl w:val="E53A7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6E47B13"/>
    <w:multiLevelType w:val="multilevel"/>
    <w:tmpl w:val="3C527298"/>
    <w:lvl w:ilvl="0">
      <w:start w:val="3"/>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pStyle w:val="Subsub-heading"/>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8" w15:restartNumberingAfterBreak="0">
    <w:nsid w:val="6E3C4B5F"/>
    <w:multiLevelType w:val="hybridMultilevel"/>
    <w:tmpl w:val="7C982FFC"/>
    <w:lvl w:ilvl="0" w:tplc="A6186192">
      <w:numFmt w:val="bullet"/>
      <w:lvlText w:val="-"/>
      <w:lvlJc w:val="left"/>
      <w:pPr>
        <w:ind w:left="1080" w:hanging="360"/>
      </w:pPr>
      <w:rPr>
        <w:rFonts w:ascii="Calibri" w:eastAsia="Times New Roman"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ED367E4"/>
    <w:multiLevelType w:val="hybridMultilevel"/>
    <w:tmpl w:val="D8EEDC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12E42F4"/>
    <w:multiLevelType w:val="hybridMultilevel"/>
    <w:tmpl w:val="844E2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322264A"/>
    <w:multiLevelType w:val="hybridMultilevel"/>
    <w:tmpl w:val="340C1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0"/>
  </w:num>
  <w:num w:numId="4">
    <w:abstractNumId w:val="20"/>
  </w:num>
  <w:num w:numId="5">
    <w:abstractNumId w:val="8"/>
  </w:num>
  <w:num w:numId="6">
    <w:abstractNumId w:val="18"/>
  </w:num>
  <w:num w:numId="7">
    <w:abstractNumId w:val="9"/>
  </w:num>
  <w:num w:numId="8">
    <w:abstractNumId w:val="9"/>
    <w:lvlOverride w:ilvl="0">
      <w:startOverride w:val="2"/>
    </w:lvlOverride>
    <w:lvlOverride w:ilvl="1">
      <w:startOverride w:val="4"/>
    </w:lvlOverride>
  </w:num>
  <w:num w:numId="9">
    <w:abstractNumId w:val="9"/>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17"/>
  </w:num>
  <w:num w:numId="12">
    <w:abstractNumId w:val="2"/>
  </w:num>
  <w:num w:numId="13">
    <w:abstractNumId w:val="21"/>
  </w:num>
  <w:num w:numId="14">
    <w:abstractNumId w:val="3"/>
  </w:num>
  <w:num w:numId="15">
    <w:abstractNumId w:val="4"/>
  </w:num>
  <w:num w:numId="16">
    <w:abstractNumId w:val="1"/>
  </w:num>
  <w:num w:numId="17">
    <w:abstractNumId w:val="16"/>
  </w:num>
  <w:num w:numId="18">
    <w:abstractNumId w:val="7"/>
  </w:num>
  <w:num w:numId="19">
    <w:abstractNumId w:val="14"/>
  </w:num>
  <w:num w:numId="20">
    <w:abstractNumId w:val="13"/>
  </w:num>
  <w:num w:numId="21">
    <w:abstractNumId w:val="11"/>
  </w:num>
  <w:num w:numId="22">
    <w:abstractNumId w:val="12"/>
  </w:num>
  <w:num w:numId="23">
    <w:abstractNumId w:val="19"/>
  </w:num>
  <w:num w:numId="24">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11"/>
  </w:num>
  <w:num w:numId="27">
    <w:abstractNumId w:val="3"/>
  </w:num>
  <w:num w:numId="28">
    <w:abstractNumId w:val="21"/>
  </w:num>
  <w:num w:numId="29">
    <w:abstractNumId w:val="4"/>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4"/>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6BB"/>
    <w:rsid w:val="0000026B"/>
    <w:rsid w:val="0002388B"/>
    <w:rsid w:val="00024897"/>
    <w:rsid w:val="000327B3"/>
    <w:rsid w:val="00062A62"/>
    <w:rsid w:val="000867D2"/>
    <w:rsid w:val="000961AB"/>
    <w:rsid w:val="000A2CA9"/>
    <w:rsid w:val="000A7FA1"/>
    <w:rsid w:val="000B20B6"/>
    <w:rsid w:val="000D1093"/>
    <w:rsid w:val="000E0C66"/>
    <w:rsid w:val="000F7783"/>
    <w:rsid w:val="00102196"/>
    <w:rsid w:val="00102AEA"/>
    <w:rsid w:val="00122137"/>
    <w:rsid w:val="00150EE9"/>
    <w:rsid w:val="00153A8A"/>
    <w:rsid w:val="00154638"/>
    <w:rsid w:val="00162095"/>
    <w:rsid w:val="00182675"/>
    <w:rsid w:val="00182FCE"/>
    <w:rsid w:val="001C59B7"/>
    <w:rsid w:val="001C641B"/>
    <w:rsid w:val="001D185B"/>
    <w:rsid w:val="001E426C"/>
    <w:rsid w:val="001F1D84"/>
    <w:rsid w:val="002106D3"/>
    <w:rsid w:val="00244A44"/>
    <w:rsid w:val="002453B7"/>
    <w:rsid w:val="002620F5"/>
    <w:rsid w:val="00272519"/>
    <w:rsid w:val="00272A81"/>
    <w:rsid w:val="00282217"/>
    <w:rsid w:val="00285EC7"/>
    <w:rsid w:val="002B3F3F"/>
    <w:rsid w:val="002C7BE7"/>
    <w:rsid w:val="002D33F6"/>
    <w:rsid w:val="002D5FF7"/>
    <w:rsid w:val="002D794D"/>
    <w:rsid w:val="0030416F"/>
    <w:rsid w:val="00306C8A"/>
    <w:rsid w:val="003167EC"/>
    <w:rsid w:val="00333303"/>
    <w:rsid w:val="00367723"/>
    <w:rsid w:val="00367E29"/>
    <w:rsid w:val="00391599"/>
    <w:rsid w:val="00397ECC"/>
    <w:rsid w:val="003A2132"/>
    <w:rsid w:val="003A22F9"/>
    <w:rsid w:val="003A65A0"/>
    <w:rsid w:val="003B0C7C"/>
    <w:rsid w:val="003B6CAC"/>
    <w:rsid w:val="003C3A77"/>
    <w:rsid w:val="003C7A29"/>
    <w:rsid w:val="003D0938"/>
    <w:rsid w:val="003D2614"/>
    <w:rsid w:val="003D55CC"/>
    <w:rsid w:val="003F0004"/>
    <w:rsid w:val="003F753C"/>
    <w:rsid w:val="004006BB"/>
    <w:rsid w:val="004006BF"/>
    <w:rsid w:val="00401335"/>
    <w:rsid w:val="00402A69"/>
    <w:rsid w:val="004062E0"/>
    <w:rsid w:val="00451BD4"/>
    <w:rsid w:val="00483ECA"/>
    <w:rsid w:val="0048512E"/>
    <w:rsid w:val="004B3752"/>
    <w:rsid w:val="004D37C3"/>
    <w:rsid w:val="004E1C00"/>
    <w:rsid w:val="004F313D"/>
    <w:rsid w:val="00502945"/>
    <w:rsid w:val="00515FF7"/>
    <w:rsid w:val="00525FAB"/>
    <w:rsid w:val="00533E57"/>
    <w:rsid w:val="0053402E"/>
    <w:rsid w:val="00534202"/>
    <w:rsid w:val="0055711D"/>
    <w:rsid w:val="005838B4"/>
    <w:rsid w:val="005A524B"/>
    <w:rsid w:val="005A7420"/>
    <w:rsid w:val="005C7EC9"/>
    <w:rsid w:val="005E01B9"/>
    <w:rsid w:val="005E5A6C"/>
    <w:rsid w:val="005E7C80"/>
    <w:rsid w:val="005F5D1C"/>
    <w:rsid w:val="00615AD9"/>
    <w:rsid w:val="0062220F"/>
    <w:rsid w:val="006301F6"/>
    <w:rsid w:val="00631F1C"/>
    <w:rsid w:val="006427C6"/>
    <w:rsid w:val="006573FC"/>
    <w:rsid w:val="006602B2"/>
    <w:rsid w:val="00666540"/>
    <w:rsid w:val="00690B2B"/>
    <w:rsid w:val="0069721E"/>
    <w:rsid w:val="006A2955"/>
    <w:rsid w:val="006A2BDC"/>
    <w:rsid w:val="006B2AC1"/>
    <w:rsid w:val="006C22C8"/>
    <w:rsid w:val="006F4058"/>
    <w:rsid w:val="006F48C8"/>
    <w:rsid w:val="006F7790"/>
    <w:rsid w:val="00726216"/>
    <w:rsid w:val="007368C0"/>
    <w:rsid w:val="007469C5"/>
    <w:rsid w:val="00792362"/>
    <w:rsid w:val="0079713D"/>
    <w:rsid w:val="007D3624"/>
    <w:rsid w:val="007E0B85"/>
    <w:rsid w:val="007E19AD"/>
    <w:rsid w:val="007F77D1"/>
    <w:rsid w:val="00804AAD"/>
    <w:rsid w:val="00806A6E"/>
    <w:rsid w:val="0082701B"/>
    <w:rsid w:val="00830C85"/>
    <w:rsid w:val="00863779"/>
    <w:rsid w:val="008A3A59"/>
    <w:rsid w:val="008B442E"/>
    <w:rsid w:val="008D1E35"/>
    <w:rsid w:val="008D4958"/>
    <w:rsid w:val="008E2252"/>
    <w:rsid w:val="008E400D"/>
    <w:rsid w:val="008F4785"/>
    <w:rsid w:val="008F49BF"/>
    <w:rsid w:val="009118A4"/>
    <w:rsid w:val="0092500D"/>
    <w:rsid w:val="009337AF"/>
    <w:rsid w:val="00937D09"/>
    <w:rsid w:val="009778F8"/>
    <w:rsid w:val="009915E9"/>
    <w:rsid w:val="00996687"/>
    <w:rsid w:val="009A0C54"/>
    <w:rsid w:val="009A409D"/>
    <w:rsid w:val="009B2423"/>
    <w:rsid w:val="009B2EF3"/>
    <w:rsid w:val="009B50E5"/>
    <w:rsid w:val="009C4B88"/>
    <w:rsid w:val="009D21EC"/>
    <w:rsid w:val="009E1B8B"/>
    <w:rsid w:val="00A052D1"/>
    <w:rsid w:val="00A4365B"/>
    <w:rsid w:val="00A57BAD"/>
    <w:rsid w:val="00A66999"/>
    <w:rsid w:val="00A66B69"/>
    <w:rsid w:val="00A72A81"/>
    <w:rsid w:val="00A852E0"/>
    <w:rsid w:val="00A86CFB"/>
    <w:rsid w:val="00A95117"/>
    <w:rsid w:val="00AC6A7D"/>
    <w:rsid w:val="00AD093B"/>
    <w:rsid w:val="00AE4EBF"/>
    <w:rsid w:val="00AF271F"/>
    <w:rsid w:val="00B032A2"/>
    <w:rsid w:val="00B03C89"/>
    <w:rsid w:val="00B13CB1"/>
    <w:rsid w:val="00B1723F"/>
    <w:rsid w:val="00B17BD6"/>
    <w:rsid w:val="00B32526"/>
    <w:rsid w:val="00B5337C"/>
    <w:rsid w:val="00B57954"/>
    <w:rsid w:val="00B671A9"/>
    <w:rsid w:val="00B70E60"/>
    <w:rsid w:val="00B71181"/>
    <w:rsid w:val="00B71C08"/>
    <w:rsid w:val="00B775F7"/>
    <w:rsid w:val="00B905C2"/>
    <w:rsid w:val="00BE295F"/>
    <w:rsid w:val="00BE570D"/>
    <w:rsid w:val="00C00C20"/>
    <w:rsid w:val="00C3482E"/>
    <w:rsid w:val="00C70B6A"/>
    <w:rsid w:val="00C834D1"/>
    <w:rsid w:val="00CA2016"/>
    <w:rsid w:val="00CA57BB"/>
    <w:rsid w:val="00CA6B9A"/>
    <w:rsid w:val="00CA6F55"/>
    <w:rsid w:val="00CB0A1C"/>
    <w:rsid w:val="00CB1BF9"/>
    <w:rsid w:val="00CD70C3"/>
    <w:rsid w:val="00CF123F"/>
    <w:rsid w:val="00D030A7"/>
    <w:rsid w:val="00D039CF"/>
    <w:rsid w:val="00D10677"/>
    <w:rsid w:val="00D25F5A"/>
    <w:rsid w:val="00D266FF"/>
    <w:rsid w:val="00D275D2"/>
    <w:rsid w:val="00D42137"/>
    <w:rsid w:val="00D570FF"/>
    <w:rsid w:val="00D644EF"/>
    <w:rsid w:val="00D85656"/>
    <w:rsid w:val="00DA29CB"/>
    <w:rsid w:val="00DE3AA5"/>
    <w:rsid w:val="00E20B7A"/>
    <w:rsid w:val="00E261B6"/>
    <w:rsid w:val="00E37943"/>
    <w:rsid w:val="00E572B5"/>
    <w:rsid w:val="00E73974"/>
    <w:rsid w:val="00E77FD2"/>
    <w:rsid w:val="00E812C9"/>
    <w:rsid w:val="00E82B9C"/>
    <w:rsid w:val="00E86E68"/>
    <w:rsid w:val="00E9704C"/>
    <w:rsid w:val="00EA0865"/>
    <w:rsid w:val="00EA6109"/>
    <w:rsid w:val="00EB237A"/>
    <w:rsid w:val="00ED1A9D"/>
    <w:rsid w:val="00EE2391"/>
    <w:rsid w:val="00EF526C"/>
    <w:rsid w:val="00F0020A"/>
    <w:rsid w:val="00F124E9"/>
    <w:rsid w:val="00F166FF"/>
    <w:rsid w:val="00F27DA2"/>
    <w:rsid w:val="00F3419E"/>
    <w:rsid w:val="00F41257"/>
    <w:rsid w:val="00F525F3"/>
    <w:rsid w:val="00F704ED"/>
    <w:rsid w:val="00F73E30"/>
    <w:rsid w:val="00FB16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073D4"/>
  <w15:docId w15:val="{964B9119-8F56-4F1F-A10D-3FCAA3B0C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lang w:val="sq-AL"/>
    </w:rPr>
  </w:style>
  <w:style w:type="paragraph" w:styleId="Heading1">
    <w:name w:val="heading 1"/>
    <w:basedOn w:val="Normal"/>
    <w:next w:val="Normal"/>
    <w:link w:val="Heading1Char"/>
    <w:uiPriority w:val="9"/>
    <w:qFormat/>
    <w:rsid w:val="007E0B85"/>
    <w:pPr>
      <w:keepNext/>
      <w:keepLines/>
      <w:spacing w:before="240" w:after="0"/>
      <w:outlineLvl w:val="0"/>
    </w:pPr>
    <w:rPr>
      <w:rFonts w:asciiTheme="majorHAnsi" w:eastAsiaTheme="majorEastAsia" w:hAnsiTheme="majorHAnsi" w:cstheme="majorBidi"/>
      <w:b/>
      <w:sz w:val="28"/>
      <w:szCs w:val="32"/>
    </w:rPr>
  </w:style>
  <w:style w:type="paragraph" w:styleId="Heading2">
    <w:name w:val="heading 2"/>
    <w:basedOn w:val="Normal"/>
    <w:next w:val="Normal"/>
    <w:link w:val="Heading2Char"/>
    <w:uiPriority w:val="9"/>
    <w:unhideWhenUsed/>
    <w:qFormat/>
    <w:rsid w:val="007E0B85"/>
    <w:pPr>
      <w:keepNext/>
      <w:keepLines/>
      <w:spacing w:before="40" w:after="0"/>
      <w:outlineLvl w:val="1"/>
    </w:pPr>
    <w:rPr>
      <w:rFonts w:asciiTheme="majorHAnsi" w:eastAsiaTheme="majorEastAsia" w:hAnsiTheme="majorHAnsi" w:cstheme="majorBidi"/>
      <w:sz w:val="26"/>
      <w:szCs w:val="26"/>
    </w:rPr>
  </w:style>
  <w:style w:type="paragraph" w:styleId="Heading3">
    <w:name w:val="heading 3"/>
    <w:basedOn w:val="Normal"/>
    <w:next w:val="Normal"/>
    <w:link w:val="Heading3Char"/>
    <w:uiPriority w:val="9"/>
    <w:unhideWhenUsed/>
    <w:qFormat/>
    <w:rsid w:val="007E0B85"/>
    <w:pPr>
      <w:keepNext/>
      <w:keepLines/>
      <w:spacing w:before="40" w:after="0"/>
      <w:outlineLvl w:val="2"/>
    </w:pPr>
    <w:rPr>
      <w:rFonts w:asciiTheme="majorHAnsi" w:eastAsiaTheme="majorEastAsia" w:hAnsiTheme="majorHAnsi" w:cstheme="majorBidi"/>
      <w:b/>
      <w:color w:val="000000" w:themeColor="tex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Times 10 Point,Exposant 3 Point,Footnote symbol,Footnote reference number,EN Footnote Reference,note TESI,16 Point,Superscript 6 Point,ftref,BVI fnr,Error-Fußnotenzeichen5,Error-Fußnotenzeichen6,Footnote Reference Number,Знак сноски-"/>
    <w:basedOn w:val="DefaultParagraphFont"/>
    <w:link w:val="CarattereCarattereCharCharCharCharCharCharZchn"/>
    <w:unhideWhenUsed/>
    <w:qFormat/>
    <w:rsid w:val="008B442E"/>
    <w:rPr>
      <w:vertAlign w:val="superscript"/>
    </w:rPr>
  </w:style>
  <w:style w:type="paragraph" w:styleId="NoSpacing">
    <w:name w:val="No Spacing"/>
    <w:aliases w:val="Henk Pref 1"/>
    <w:link w:val="NoSpacingChar"/>
    <w:uiPriority w:val="1"/>
    <w:qFormat/>
    <w:rsid w:val="008B442E"/>
    <w:pPr>
      <w:spacing w:after="0" w:line="240" w:lineRule="auto"/>
    </w:pPr>
    <w:rPr>
      <w:rFonts w:ascii="Calibri" w:eastAsia="Times New Roman" w:hAnsi="Calibri" w:cs="Times New Roman"/>
    </w:rPr>
  </w:style>
  <w:style w:type="character" w:customStyle="1" w:styleId="NoSpacingChar">
    <w:name w:val="No Spacing Char"/>
    <w:aliases w:val="Henk Pref 1 Char"/>
    <w:link w:val="NoSpacing"/>
    <w:uiPriority w:val="1"/>
    <w:locked/>
    <w:rsid w:val="008B442E"/>
    <w:rPr>
      <w:rFonts w:ascii="Calibri" w:eastAsia="Times New Roman" w:hAnsi="Calibri" w:cs="Times New Roman"/>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uiPriority w:val="99"/>
    <w:rsid w:val="008B442E"/>
    <w:pPr>
      <w:spacing w:line="240" w:lineRule="exact"/>
      <w:jc w:val="both"/>
    </w:pPr>
    <w:rPr>
      <w:vertAlign w:val="superscript"/>
      <w:lang w:val="en-US"/>
    </w:rPr>
  </w:style>
  <w:style w:type="paragraph" w:styleId="ListParagraph">
    <w:name w:val="List Paragraph"/>
    <w:aliases w:val="ADB paragraph numbering,List Paragraph (numbered (a)),List_Paragraph,Multilevel para_II,List Paragraph1,Akapit z listą BS,List Paragraph 1,Bullet1,Main numbered paragraph,Абзац вправо-1,NumberedParas,References,Bullets,NUMBERED PARAGRAPH"/>
    <w:basedOn w:val="Normal"/>
    <w:link w:val="ListParagraphChar"/>
    <w:uiPriority w:val="34"/>
    <w:qFormat/>
    <w:rsid w:val="000A2CA9"/>
    <w:pPr>
      <w:spacing w:after="0"/>
      <w:ind w:left="720"/>
      <w:contextualSpacing/>
      <w:jc w:val="both"/>
    </w:pPr>
    <w:rPr>
      <w:rFonts w:ascii="Calibri" w:eastAsia="Times New Roman" w:hAnsi="Calibri" w:cs="Times New Roman"/>
      <w:lang w:val="en-US"/>
    </w:rPr>
  </w:style>
  <w:style w:type="character" w:customStyle="1" w:styleId="ListParagraphChar">
    <w:name w:val="List Paragraph Char"/>
    <w:aliases w:val="ADB paragraph numbering Char,List Paragraph (numbered (a)) Char,List_Paragraph Char,Multilevel para_II Char,List Paragraph1 Char,Akapit z listą BS Char,List Paragraph 1 Char,Bullet1 Char,Main numbered paragraph Char,References Char"/>
    <w:link w:val="ListParagraph"/>
    <w:uiPriority w:val="34"/>
    <w:qFormat/>
    <w:locked/>
    <w:rsid w:val="000A2CA9"/>
    <w:rPr>
      <w:rFonts w:ascii="Calibri" w:eastAsia="Times New Roman" w:hAnsi="Calibri" w:cs="Times New Roman"/>
    </w:rPr>
  </w:style>
  <w:style w:type="character" w:styleId="CommentReference">
    <w:name w:val="annotation reference"/>
    <w:basedOn w:val="DefaultParagraphFont"/>
    <w:uiPriority w:val="99"/>
    <w:unhideWhenUsed/>
    <w:rsid w:val="00E572B5"/>
    <w:rPr>
      <w:sz w:val="16"/>
      <w:szCs w:val="16"/>
    </w:rPr>
  </w:style>
  <w:style w:type="paragraph" w:styleId="CommentText">
    <w:name w:val="annotation text"/>
    <w:basedOn w:val="Normal"/>
    <w:link w:val="CommentTextChar"/>
    <w:uiPriority w:val="99"/>
    <w:unhideWhenUsed/>
    <w:rsid w:val="00E572B5"/>
    <w:pPr>
      <w:widowControl w:val="0"/>
      <w:autoSpaceDE w:val="0"/>
      <w:autoSpaceDN w:val="0"/>
      <w:adjustRightInd w:val="0"/>
      <w:spacing w:after="0" w:line="240" w:lineRule="auto"/>
    </w:pPr>
    <w:rPr>
      <w:rFonts w:ascii="Arial" w:eastAsiaTheme="minorEastAsia" w:hAnsi="Arial" w:cs="Arial"/>
      <w:color w:val="000000"/>
      <w:sz w:val="20"/>
      <w:szCs w:val="20"/>
      <w:lang w:val="en-US"/>
    </w:rPr>
  </w:style>
  <w:style w:type="character" w:customStyle="1" w:styleId="CommentTextChar">
    <w:name w:val="Comment Text Char"/>
    <w:basedOn w:val="DefaultParagraphFont"/>
    <w:link w:val="CommentText"/>
    <w:uiPriority w:val="99"/>
    <w:rsid w:val="00E572B5"/>
    <w:rPr>
      <w:rFonts w:ascii="Arial" w:eastAsiaTheme="minorEastAsia" w:hAnsi="Arial" w:cs="Arial"/>
      <w:color w:val="000000"/>
      <w:sz w:val="20"/>
      <w:szCs w:val="20"/>
    </w:rPr>
  </w:style>
  <w:style w:type="paragraph" w:styleId="FootnoteText">
    <w:name w:val="footnote text"/>
    <w:aliases w:val="A,ADB,FOOTNOTES,Footnote Text Char1 Char Char,Footnote Text Char1 Char Char Char Char,Footnote Text Char2 Char,Footnote Text Char2 Char Char Char,Footnote Text Char2 Char Char Char Char Char,Geneva 9,f,fn,footnote text,ft,ft2,single space"/>
    <w:basedOn w:val="Normal"/>
    <w:link w:val="FootnoteTextChar"/>
    <w:uiPriority w:val="99"/>
    <w:unhideWhenUsed/>
    <w:qFormat/>
    <w:rsid w:val="00E572B5"/>
    <w:pPr>
      <w:widowControl w:val="0"/>
      <w:autoSpaceDE w:val="0"/>
      <w:autoSpaceDN w:val="0"/>
      <w:adjustRightInd w:val="0"/>
      <w:spacing w:after="0" w:line="240" w:lineRule="auto"/>
    </w:pPr>
    <w:rPr>
      <w:rFonts w:eastAsiaTheme="minorEastAsia" w:cs="Arial"/>
      <w:color w:val="000000"/>
      <w:sz w:val="18"/>
      <w:szCs w:val="20"/>
      <w:lang w:val="en-US"/>
    </w:rPr>
  </w:style>
  <w:style w:type="character" w:customStyle="1" w:styleId="FootnoteTextChar">
    <w:name w:val="Footnote Text Char"/>
    <w:aliases w:val="A Char,ADB Char,FOOTNOTES Char,Footnote Text Char1 Char Char Char,Footnote Text Char1 Char Char Char Char Char,Footnote Text Char2 Char Char,Footnote Text Char2 Char Char Char Char,Footnote Text Char2 Char Char Char Char Char Char"/>
    <w:basedOn w:val="DefaultParagraphFont"/>
    <w:link w:val="FootnoteText"/>
    <w:uiPriority w:val="99"/>
    <w:qFormat/>
    <w:rsid w:val="00E572B5"/>
    <w:rPr>
      <w:rFonts w:eastAsiaTheme="minorEastAsia" w:cs="Arial"/>
      <w:color w:val="000000"/>
      <w:sz w:val="18"/>
      <w:szCs w:val="20"/>
    </w:rPr>
  </w:style>
  <w:style w:type="paragraph" w:customStyle="1" w:styleId="BVIfnrCharCharCharCharChar">
    <w:name w:val="BVI fnr Char Char Char Char Char"/>
    <w:aliases w:val=" BVI fnr Car Car Car Car Char Char Char Char Char Char Char Char, BVI fnr Car Car Char Char Char Char Char,BVI fnr Car Car Char Char Char Char Char,BVI fnr Car Char Char Char Char Char"/>
    <w:basedOn w:val="Normal"/>
    <w:rsid w:val="00E572B5"/>
    <w:pPr>
      <w:spacing w:after="0" w:line="240" w:lineRule="exact"/>
    </w:pPr>
    <w:rPr>
      <w:vertAlign w:val="superscript"/>
      <w:lang w:val="en-US"/>
    </w:rPr>
  </w:style>
  <w:style w:type="paragraph" w:styleId="BalloonText">
    <w:name w:val="Balloon Text"/>
    <w:basedOn w:val="Normal"/>
    <w:link w:val="BalloonTextChar"/>
    <w:uiPriority w:val="99"/>
    <w:semiHidden/>
    <w:unhideWhenUsed/>
    <w:rsid w:val="00E572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72B5"/>
    <w:rPr>
      <w:rFonts w:ascii="Segoe UI" w:hAnsi="Segoe UI" w:cs="Segoe UI"/>
      <w:sz w:val="18"/>
      <w:szCs w:val="18"/>
      <w:lang w:val="sq-AL"/>
    </w:rPr>
  </w:style>
  <w:style w:type="paragraph" w:customStyle="1" w:styleId="SUBHEADING">
    <w:name w:val="SUBHEADING"/>
    <w:basedOn w:val="Heading2"/>
    <w:link w:val="SUBHEADINGChar"/>
    <w:qFormat/>
    <w:rsid w:val="00525FAB"/>
    <w:pPr>
      <w:keepNext w:val="0"/>
      <w:keepLines w:val="0"/>
      <w:widowControl w:val="0"/>
      <w:numPr>
        <w:ilvl w:val="1"/>
        <w:numId w:val="7"/>
      </w:numPr>
      <w:autoSpaceDE w:val="0"/>
      <w:autoSpaceDN w:val="0"/>
      <w:spacing w:before="1" w:line="240" w:lineRule="auto"/>
      <w:jc w:val="both"/>
    </w:pPr>
    <w:rPr>
      <w:rFonts w:asciiTheme="minorHAnsi" w:hAnsiTheme="minorHAnsi" w:cstheme="minorHAnsi"/>
      <w:b/>
      <w:sz w:val="20"/>
      <w:szCs w:val="20"/>
      <w:lang w:val="en-US"/>
    </w:rPr>
  </w:style>
  <w:style w:type="character" w:customStyle="1" w:styleId="SUBHEADINGChar">
    <w:name w:val="SUBHEADING Char"/>
    <w:basedOn w:val="DefaultParagraphFont"/>
    <w:link w:val="SUBHEADING"/>
    <w:rsid w:val="00525FAB"/>
    <w:rPr>
      <w:rFonts w:eastAsiaTheme="majorEastAsia" w:cstheme="minorHAnsi"/>
      <w:b/>
      <w:sz w:val="20"/>
      <w:szCs w:val="20"/>
    </w:rPr>
  </w:style>
  <w:style w:type="character" w:customStyle="1" w:styleId="Heading2Char">
    <w:name w:val="Heading 2 Char"/>
    <w:basedOn w:val="DefaultParagraphFont"/>
    <w:link w:val="Heading2"/>
    <w:uiPriority w:val="9"/>
    <w:rsid w:val="007E0B85"/>
    <w:rPr>
      <w:rFonts w:asciiTheme="majorHAnsi" w:eastAsiaTheme="majorEastAsia" w:hAnsiTheme="majorHAnsi" w:cstheme="majorBidi"/>
      <w:noProof/>
      <w:sz w:val="26"/>
      <w:szCs w:val="26"/>
      <w:lang w:val="sq-AL"/>
    </w:rPr>
  </w:style>
  <w:style w:type="paragraph" w:customStyle="1" w:styleId="Normal11">
    <w:name w:val="Normal_11"/>
    <w:qFormat/>
    <w:rsid w:val="00525FAB"/>
  </w:style>
  <w:style w:type="paragraph" w:customStyle="1" w:styleId="Subsub-heading">
    <w:name w:val="Subsub-heading"/>
    <w:basedOn w:val="Heading3"/>
    <w:link w:val="Subsub-headingChar"/>
    <w:qFormat/>
    <w:rsid w:val="00525FAB"/>
    <w:pPr>
      <w:numPr>
        <w:ilvl w:val="2"/>
        <w:numId w:val="11"/>
      </w:numPr>
      <w:shd w:val="clear" w:color="auto" w:fill="FFFFFF" w:themeFill="background1"/>
      <w:tabs>
        <w:tab w:val="num" w:pos="360"/>
      </w:tabs>
      <w:spacing w:line="240" w:lineRule="auto"/>
      <w:ind w:left="0" w:firstLine="0"/>
      <w:jc w:val="both"/>
    </w:pPr>
    <w:rPr>
      <w:rFonts w:asciiTheme="minorHAnsi" w:hAnsiTheme="minorHAnsi" w:cstheme="minorHAnsi"/>
      <w:b w:val="0"/>
      <w:iCs/>
      <w:color w:val="auto"/>
      <w:sz w:val="20"/>
      <w:szCs w:val="20"/>
      <w:lang w:val="en-US"/>
    </w:rPr>
  </w:style>
  <w:style w:type="character" w:customStyle="1" w:styleId="Heading3Char">
    <w:name w:val="Heading 3 Char"/>
    <w:basedOn w:val="DefaultParagraphFont"/>
    <w:link w:val="Heading3"/>
    <w:uiPriority w:val="9"/>
    <w:rsid w:val="007E0B85"/>
    <w:rPr>
      <w:rFonts w:asciiTheme="majorHAnsi" w:eastAsiaTheme="majorEastAsia" w:hAnsiTheme="majorHAnsi" w:cstheme="majorBidi"/>
      <w:b/>
      <w:noProof/>
      <w:color w:val="000000" w:themeColor="text1"/>
      <w:sz w:val="24"/>
      <w:szCs w:val="24"/>
      <w:lang w:val="sq-AL"/>
    </w:rPr>
  </w:style>
  <w:style w:type="character" w:customStyle="1" w:styleId="Subsub-headingChar">
    <w:name w:val="Subsub-heading Char"/>
    <w:basedOn w:val="DefaultParagraphFont"/>
    <w:link w:val="Subsub-heading"/>
    <w:rsid w:val="00525FAB"/>
    <w:rPr>
      <w:rFonts w:eastAsiaTheme="majorEastAsia" w:cstheme="minorHAnsi"/>
      <w:b/>
      <w:iCs/>
      <w:sz w:val="20"/>
      <w:szCs w:val="20"/>
      <w:shd w:val="clear" w:color="auto" w:fill="FFFFFF" w:themeFill="background1"/>
    </w:rPr>
  </w:style>
  <w:style w:type="paragraph" w:customStyle="1" w:styleId="gmail-msocaption">
    <w:name w:val="gmail-msocaption"/>
    <w:basedOn w:val="Normal"/>
    <w:rsid w:val="00333303"/>
    <w:pPr>
      <w:spacing w:before="100" w:beforeAutospacing="1" w:after="100" w:afterAutospacing="1" w:line="240" w:lineRule="auto"/>
    </w:pPr>
    <w:rPr>
      <w:rFonts w:ascii="Times New Roman" w:hAnsi="Times New Roman" w:cs="Times New Roman"/>
      <w:sz w:val="24"/>
      <w:szCs w:val="24"/>
      <w:lang w:val="en-US"/>
    </w:rPr>
  </w:style>
  <w:style w:type="paragraph" w:customStyle="1" w:styleId="gmail-msolistparagraph">
    <w:name w:val="gmail-msolistparagraph"/>
    <w:basedOn w:val="Normal"/>
    <w:rsid w:val="00333303"/>
    <w:pPr>
      <w:spacing w:before="100" w:beforeAutospacing="1" w:after="100" w:afterAutospacing="1" w:line="240" w:lineRule="auto"/>
    </w:pPr>
    <w:rPr>
      <w:rFonts w:ascii="Times New Roman" w:hAnsi="Times New Roman" w:cs="Times New Roman"/>
      <w:sz w:val="24"/>
      <w:szCs w:val="24"/>
      <w:lang w:val="en-US"/>
    </w:rPr>
  </w:style>
  <w:style w:type="character" w:customStyle="1" w:styleId="gmail-msodel">
    <w:name w:val="gmail-msodel"/>
    <w:basedOn w:val="DefaultParagraphFont"/>
    <w:rsid w:val="00333303"/>
  </w:style>
  <w:style w:type="character" w:customStyle="1" w:styleId="gmail-msoins">
    <w:name w:val="gmail-msoins"/>
    <w:basedOn w:val="DefaultParagraphFont"/>
    <w:rsid w:val="00333303"/>
  </w:style>
  <w:style w:type="character" w:styleId="Emphasis">
    <w:name w:val="Emphasis"/>
    <w:basedOn w:val="DefaultParagraphFont"/>
    <w:uiPriority w:val="20"/>
    <w:qFormat/>
    <w:rsid w:val="00CA6B9A"/>
    <w:rPr>
      <w:i/>
      <w:iCs/>
    </w:rPr>
  </w:style>
  <w:style w:type="character" w:styleId="Hyperlink">
    <w:name w:val="Hyperlink"/>
    <w:basedOn w:val="DefaultParagraphFont"/>
    <w:uiPriority w:val="99"/>
    <w:unhideWhenUsed/>
    <w:rsid w:val="003167EC"/>
    <w:rPr>
      <w:color w:val="0563C1" w:themeColor="hyperlink"/>
      <w:u w:val="single"/>
    </w:rPr>
  </w:style>
  <w:style w:type="paragraph" w:styleId="Header">
    <w:name w:val="header"/>
    <w:basedOn w:val="Normal"/>
    <w:link w:val="HeaderChar"/>
    <w:uiPriority w:val="99"/>
    <w:unhideWhenUsed/>
    <w:rsid w:val="005A52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524B"/>
    <w:rPr>
      <w:lang w:val="sq-AL"/>
    </w:rPr>
  </w:style>
  <w:style w:type="paragraph" w:styleId="Footer">
    <w:name w:val="footer"/>
    <w:basedOn w:val="Normal"/>
    <w:link w:val="FooterChar"/>
    <w:uiPriority w:val="99"/>
    <w:unhideWhenUsed/>
    <w:rsid w:val="005A52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524B"/>
    <w:rPr>
      <w:lang w:val="sq-AL"/>
    </w:rPr>
  </w:style>
  <w:style w:type="paragraph" w:customStyle="1" w:styleId="BankNormal">
    <w:name w:val="BankNormal"/>
    <w:basedOn w:val="Normal"/>
    <w:link w:val="BankNormalChar"/>
    <w:rsid w:val="006F7790"/>
    <w:pPr>
      <w:spacing w:after="240" w:line="240" w:lineRule="auto"/>
    </w:pPr>
    <w:rPr>
      <w:rFonts w:ascii="Times New Roman" w:eastAsia="Times New Roman" w:hAnsi="Times New Roman" w:cs="Times New Roman"/>
      <w:sz w:val="24"/>
      <w:szCs w:val="20"/>
      <w:lang w:val="en-US"/>
    </w:rPr>
  </w:style>
  <w:style w:type="character" w:customStyle="1" w:styleId="BankNormalChar">
    <w:name w:val="BankNormal Char"/>
    <w:link w:val="BankNormal"/>
    <w:rsid w:val="006F7790"/>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7E0B85"/>
    <w:rPr>
      <w:rFonts w:asciiTheme="majorHAnsi" w:eastAsiaTheme="majorEastAsia" w:hAnsiTheme="majorHAnsi" w:cstheme="majorBidi"/>
      <w:b/>
      <w:noProof/>
      <w:sz w:val="28"/>
      <w:szCs w:val="32"/>
      <w:lang w:val="sq-AL"/>
    </w:rPr>
  </w:style>
  <w:style w:type="paragraph" w:styleId="TOCHeading">
    <w:name w:val="TOC Heading"/>
    <w:basedOn w:val="Heading1"/>
    <w:next w:val="Normal"/>
    <w:uiPriority w:val="39"/>
    <w:unhideWhenUsed/>
    <w:qFormat/>
    <w:rsid w:val="00D039CF"/>
    <w:pPr>
      <w:outlineLvl w:val="9"/>
    </w:pPr>
    <w:rPr>
      <w:b w:val="0"/>
      <w:noProof w:val="0"/>
      <w:color w:val="2E74B5" w:themeColor="accent1" w:themeShade="BF"/>
      <w:sz w:val="32"/>
      <w:lang w:val="en-US"/>
    </w:rPr>
  </w:style>
  <w:style w:type="paragraph" w:styleId="TOC1">
    <w:name w:val="toc 1"/>
    <w:basedOn w:val="Normal"/>
    <w:next w:val="Normal"/>
    <w:autoRedefine/>
    <w:uiPriority w:val="39"/>
    <w:unhideWhenUsed/>
    <w:rsid w:val="00D039CF"/>
    <w:pPr>
      <w:spacing w:after="100"/>
    </w:pPr>
  </w:style>
  <w:style w:type="paragraph" w:styleId="TOC2">
    <w:name w:val="toc 2"/>
    <w:basedOn w:val="Normal"/>
    <w:next w:val="Normal"/>
    <w:autoRedefine/>
    <w:uiPriority w:val="39"/>
    <w:unhideWhenUsed/>
    <w:rsid w:val="00D039CF"/>
    <w:pPr>
      <w:spacing w:after="100"/>
      <w:ind w:left="220"/>
    </w:pPr>
  </w:style>
  <w:style w:type="paragraph" w:styleId="TOC3">
    <w:name w:val="toc 3"/>
    <w:basedOn w:val="Normal"/>
    <w:next w:val="Normal"/>
    <w:autoRedefine/>
    <w:uiPriority w:val="39"/>
    <w:unhideWhenUsed/>
    <w:rsid w:val="00D039CF"/>
    <w:pPr>
      <w:spacing w:after="100"/>
      <w:ind w:left="440"/>
    </w:pPr>
  </w:style>
  <w:style w:type="character" w:customStyle="1" w:styleId="UnresolvedMention">
    <w:name w:val="Unresolved Mention"/>
    <w:basedOn w:val="DefaultParagraphFont"/>
    <w:uiPriority w:val="99"/>
    <w:semiHidden/>
    <w:unhideWhenUsed/>
    <w:rsid w:val="001C59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40159">
      <w:bodyDiv w:val="1"/>
      <w:marLeft w:val="0"/>
      <w:marRight w:val="0"/>
      <w:marTop w:val="0"/>
      <w:marBottom w:val="0"/>
      <w:divBdr>
        <w:top w:val="none" w:sz="0" w:space="0" w:color="auto"/>
        <w:left w:val="none" w:sz="0" w:space="0" w:color="auto"/>
        <w:bottom w:val="none" w:sz="0" w:space="0" w:color="auto"/>
        <w:right w:val="none" w:sz="0" w:space="0" w:color="auto"/>
      </w:divBdr>
    </w:div>
    <w:div w:id="855312576">
      <w:bodyDiv w:val="1"/>
      <w:marLeft w:val="0"/>
      <w:marRight w:val="0"/>
      <w:marTop w:val="0"/>
      <w:marBottom w:val="0"/>
      <w:divBdr>
        <w:top w:val="none" w:sz="0" w:space="0" w:color="auto"/>
        <w:left w:val="none" w:sz="0" w:space="0" w:color="auto"/>
        <w:bottom w:val="none" w:sz="0" w:space="0" w:color="auto"/>
        <w:right w:val="none" w:sz="0" w:space="0" w:color="auto"/>
      </w:divBdr>
    </w:div>
    <w:div w:id="2049599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4Y.PROJECT@rks-gov.net" TargetMode="Externa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F04877-B8B8-4D5C-9D4C-3EA89B704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14</Pages>
  <Words>5201</Words>
  <Characters>29650</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Fatmire Berisha</dc:creator>
  <cp:keywords/>
  <dc:description/>
  <cp:lastModifiedBy>Sara Simnica</cp:lastModifiedBy>
  <cp:revision>14</cp:revision>
  <dcterms:created xsi:type="dcterms:W3CDTF">2022-04-21T10:37:00Z</dcterms:created>
  <dcterms:modified xsi:type="dcterms:W3CDTF">2022-04-21T13:14:00Z</dcterms:modified>
</cp:coreProperties>
</file>